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A07D" w14:textId="072CA9B7" w:rsidR="002B748A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 xml:space="preserve">Profesorado </w:t>
      </w:r>
      <w:r w:rsidR="00D77CC6">
        <w:rPr>
          <w:rFonts w:ascii="Arial" w:hAnsi="Arial" w:cs="Arial"/>
          <w:b/>
          <w:bCs/>
          <w:sz w:val="24"/>
          <w:szCs w:val="24"/>
        </w:rPr>
        <w:t xml:space="preserve">de </w:t>
      </w:r>
      <w:r w:rsidR="000646E9">
        <w:rPr>
          <w:rFonts w:ascii="Arial" w:hAnsi="Arial" w:cs="Arial"/>
          <w:b/>
          <w:bCs/>
          <w:sz w:val="24"/>
          <w:szCs w:val="24"/>
        </w:rPr>
        <w:t>Historia</w:t>
      </w:r>
    </w:p>
    <w:p w14:paraId="620BBFF6" w14:textId="2AD5E3B9" w:rsidR="00C02926" w:rsidRPr="00D77CC6" w:rsidRDefault="00F51D0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 w:rsidR="00B03A50">
        <w:rPr>
          <w:rFonts w:ascii="Arial" w:hAnsi="Arial" w:cs="Arial"/>
          <w:sz w:val="24"/>
          <w:szCs w:val="24"/>
          <w:u w:val="single"/>
        </w:rPr>
        <w:t xml:space="preserve"> Y </w:t>
      </w:r>
      <w:r w:rsidR="00BF4158">
        <w:rPr>
          <w:rFonts w:ascii="Arial" w:hAnsi="Arial" w:cs="Arial"/>
          <w:sz w:val="24"/>
          <w:szCs w:val="24"/>
          <w:u w:val="single"/>
        </w:rPr>
        <w:t>COMISIÓN:</w:t>
      </w:r>
      <w:r w:rsidR="00C02926" w:rsidRPr="00195281">
        <w:rPr>
          <w:rFonts w:ascii="Arial" w:hAnsi="Arial" w:cs="Arial"/>
          <w:sz w:val="24"/>
          <w:szCs w:val="24"/>
        </w:rPr>
        <w:t xml:space="preserve"> </w:t>
      </w:r>
      <w:r w:rsidR="00D77CC6" w:rsidRPr="00D77CC6">
        <w:rPr>
          <w:rFonts w:ascii="Arial" w:hAnsi="Arial" w:cs="Arial"/>
          <w:b/>
          <w:bCs/>
          <w:sz w:val="24"/>
          <w:szCs w:val="24"/>
        </w:rPr>
        <w:t xml:space="preserve">1ro </w:t>
      </w:r>
      <w:r w:rsidR="00AE355A">
        <w:rPr>
          <w:rFonts w:ascii="Arial" w:hAnsi="Arial" w:cs="Arial"/>
          <w:b/>
          <w:bCs/>
          <w:sz w:val="24"/>
          <w:szCs w:val="24"/>
        </w:rPr>
        <w:t>B</w:t>
      </w:r>
    </w:p>
    <w:p w14:paraId="77D0376D" w14:textId="2DA6304C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="00C02926" w:rsidRPr="00195281">
        <w:rPr>
          <w:rFonts w:ascii="Arial" w:hAnsi="Arial" w:cs="Arial"/>
          <w:sz w:val="24"/>
          <w:szCs w:val="24"/>
        </w:rPr>
        <w:t xml:space="preserve">: </w:t>
      </w:r>
      <w:r w:rsidR="00D77CC6" w:rsidRPr="00D77CC6">
        <w:rPr>
          <w:rFonts w:ascii="Arial" w:hAnsi="Arial" w:cs="Arial"/>
          <w:b/>
          <w:bCs/>
          <w:sz w:val="24"/>
          <w:szCs w:val="24"/>
        </w:rPr>
        <w:t>Perspectiva Soci</w:t>
      </w:r>
      <w:r w:rsidR="00BF4158" w:rsidRPr="00D77CC6">
        <w:rPr>
          <w:rFonts w:ascii="Arial" w:hAnsi="Arial" w:cs="Arial"/>
          <w:b/>
          <w:bCs/>
          <w:sz w:val="24"/>
          <w:szCs w:val="24"/>
        </w:rPr>
        <w:t>opolítica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EB427E" w14:textId="165F0E7D" w:rsidR="00B93F01" w:rsidRPr="00B93F01" w:rsidRDefault="00B93F01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="00BF4158" w:rsidRPr="00BF4158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Marcelo Soubie</w:t>
      </w:r>
    </w:p>
    <w:p w14:paraId="216292D9" w14:textId="01B425CC" w:rsidR="00C02926" w:rsidRPr="00BF4158" w:rsidRDefault="00B93F01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HORAS DE CLASES SEMANALES</w:t>
      </w:r>
      <w:r w:rsidR="00BF4158">
        <w:rPr>
          <w:rFonts w:ascii="Arial" w:hAnsi="Arial" w:cs="Arial"/>
          <w:sz w:val="24"/>
          <w:szCs w:val="24"/>
        </w:rPr>
        <w:t xml:space="preserve"> </w:t>
      </w:r>
      <w:r w:rsidR="00BF4158" w:rsidRPr="00BF4158">
        <w:rPr>
          <w:rFonts w:ascii="Arial" w:hAnsi="Arial" w:cs="Arial"/>
          <w:b/>
          <w:bCs/>
          <w:sz w:val="24"/>
          <w:szCs w:val="24"/>
        </w:rPr>
        <w:t>2 horas</w:t>
      </w:r>
    </w:p>
    <w:p w14:paraId="5DA855B6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1DED20E1" w14:textId="77777777" w:rsidR="002A0783" w:rsidRPr="00195281" w:rsidRDefault="002A0783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31196" w14:textId="4C6DBB0B" w:rsidR="0013265A" w:rsidRDefault="005C321D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 w:rsidR="0013265A"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8AD66E5" w14:textId="1F512720" w:rsidR="00BF4158" w:rsidRDefault="00BF4158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4C51D3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contenidos priorizados apuntan a considerar los siguientes propósitos formativos, que consideramos irrenunciables para la formación docente: </w:t>
      </w:r>
    </w:p>
    <w:p w14:paraId="66EBC113" w14:textId="77777777" w:rsidR="00BF4158" w:rsidRDefault="00BF4158" w:rsidP="00BF4158">
      <w:pPr>
        <w:spacing w:line="360" w:lineRule="auto"/>
        <w:jc w:val="both"/>
        <w:rPr>
          <w:sz w:val="24"/>
          <w:szCs w:val="24"/>
        </w:rPr>
      </w:pPr>
    </w:p>
    <w:p w14:paraId="7D5AE34B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Desnaturalizar el hecho educativo y atribuirle sentido político, enmarcándolo en un mundo complejo y desigual y atravesado por disputas sociales. </w:t>
      </w:r>
    </w:p>
    <w:p w14:paraId="22CEBBF1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Concebir a la educación como derecho y responsabilidad del Estado, y como una de las puertas de acceso a procesos de inclusión social y democratización. </w:t>
      </w:r>
    </w:p>
    <w:p w14:paraId="700CE497" w14:textId="77777777" w:rsidR="00BF4158" w:rsidRDefault="00BF4158" w:rsidP="00BF4158">
      <w:pPr>
        <w:numPr>
          <w:ilvl w:val="0"/>
          <w:numId w:val="28"/>
        </w:numPr>
        <w:autoSpaceDN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Asumir que el sentido político de la educación radica en lo que se enseña, pero sobre todo en cómo se enseña, y en los vínculos que se construyen en la relación pedagógica.</w:t>
      </w:r>
    </w:p>
    <w:p w14:paraId="0756B87E" w14:textId="77777777" w:rsidR="00BF4158" w:rsidRPr="005C321D" w:rsidRDefault="00BF4158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F9663A9" w14:textId="77777777" w:rsidR="0013265A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A1EC3" w14:textId="60A2DA48" w:rsidR="00F51D0D" w:rsidRPr="00195281" w:rsidRDefault="0013265A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F51D0D" w:rsidRPr="00195281">
        <w:rPr>
          <w:rFonts w:ascii="Arial" w:hAnsi="Arial" w:cs="Arial"/>
          <w:b/>
          <w:bCs/>
          <w:sz w:val="24"/>
          <w:szCs w:val="24"/>
          <w:u w:val="single"/>
        </w:rPr>
        <w:t>ONTENIDOS</w:t>
      </w:r>
      <w:r w:rsidR="001B75CC">
        <w:rPr>
          <w:rFonts w:ascii="Arial" w:hAnsi="Arial" w:cs="Arial"/>
          <w:b/>
          <w:bCs/>
          <w:sz w:val="24"/>
          <w:szCs w:val="24"/>
          <w:u w:val="single"/>
        </w:rPr>
        <w:t xml:space="preserve"> Y BIBLIOGRAFÍA</w:t>
      </w:r>
    </w:p>
    <w:p w14:paraId="02FB0CEA" w14:textId="771AA63F" w:rsidR="00195281" w:rsidRDefault="00195281" w:rsidP="00195281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1ACF9C68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b/>
          <w:sz w:val="24"/>
          <w:szCs w:val="24"/>
        </w:rPr>
        <w:t xml:space="preserve">Bloque I. </w:t>
      </w:r>
      <w:r w:rsidRPr="00FF4E92">
        <w:rPr>
          <w:rFonts w:cs="Calibri"/>
          <w:b/>
          <w:sz w:val="24"/>
          <w:szCs w:val="24"/>
        </w:rPr>
        <w:t>El mundo social.</w:t>
      </w:r>
      <w:r w:rsidRPr="00FF4E92">
        <w:rPr>
          <w:rFonts w:cs="Calibri"/>
          <w:sz w:val="24"/>
          <w:szCs w:val="24"/>
        </w:rPr>
        <w:t xml:space="preserve"> La construcción del conocimiento desde las ciencias sociales. La diferencia entre lo natural y lo social. Desnaturalización de situaciones sociales. Constitución y dinámica del mundo social. El proceso de socialización. La construcción social de la realidad. Legitimación y reproducción del orden social. Mecanismos de control social. Orden social y clases dominantes. </w:t>
      </w:r>
    </w:p>
    <w:p w14:paraId="29B00272" w14:textId="77777777" w:rsidR="001B75CC" w:rsidRPr="00FF4E92" w:rsidRDefault="001B75CC" w:rsidP="001B75CC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605A9FE3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rFonts w:cs="Arial"/>
          <w:sz w:val="24"/>
          <w:szCs w:val="24"/>
        </w:rPr>
        <w:t>Gentilli</w:t>
      </w:r>
      <w:proofErr w:type="spellEnd"/>
      <w:r w:rsidRPr="00FF4E92">
        <w:rPr>
          <w:rFonts w:cs="Arial"/>
          <w:sz w:val="24"/>
          <w:szCs w:val="24"/>
        </w:rPr>
        <w:t xml:space="preserve">, Pablo; </w:t>
      </w:r>
      <w:r w:rsidRPr="00FF4E92">
        <w:rPr>
          <w:rFonts w:cs="Arial"/>
          <w:b/>
          <w:i/>
          <w:sz w:val="24"/>
          <w:szCs w:val="24"/>
        </w:rPr>
        <w:t>Un zapato perdido (o cuando las miradas saben mirar)</w:t>
      </w:r>
      <w:r w:rsidRPr="00FF4E92">
        <w:rPr>
          <w:rFonts w:cs="Arial"/>
          <w:sz w:val="24"/>
          <w:szCs w:val="24"/>
        </w:rPr>
        <w:t xml:space="preserve">; </w:t>
      </w:r>
      <w:r w:rsidRPr="00FF4E92">
        <w:rPr>
          <w:sz w:val="24"/>
          <w:szCs w:val="24"/>
        </w:rPr>
        <w:t>Laboratorio de Políticas Públicas (LPP) Universidad del Estado de Río de Janeiro (UERJ). Ponencia presentada el 20 de setiembre de 2001</w:t>
      </w:r>
    </w:p>
    <w:p w14:paraId="0FB4A474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proofErr w:type="spellStart"/>
      <w:r w:rsidRPr="00FF4E92">
        <w:rPr>
          <w:rFonts w:cs="Arial"/>
          <w:sz w:val="24"/>
          <w:szCs w:val="24"/>
        </w:rPr>
        <w:t>Marques</w:t>
      </w:r>
      <w:proofErr w:type="spellEnd"/>
      <w:r w:rsidRPr="00FF4E92">
        <w:rPr>
          <w:rFonts w:cs="Arial"/>
          <w:sz w:val="24"/>
          <w:szCs w:val="24"/>
        </w:rPr>
        <w:t>, Josep Vicent; “</w:t>
      </w:r>
      <w:r w:rsidRPr="00FF4E92">
        <w:rPr>
          <w:rFonts w:cs="Arial"/>
          <w:b/>
          <w:i/>
          <w:sz w:val="24"/>
          <w:szCs w:val="24"/>
        </w:rPr>
        <w:t>Casi todo podría ser de otra manera</w:t>
      </w:r>
      <w:r w:rsidRPr="00FF4E92">
        <w:rPr>
          <w:rFonts w:cs="Arial"/>
          <w:sz w:val="24"/>
          <w:szCs w:val="24"/>
        </w:rPr>
        <w:t>”; en No es natural (Para una sociología de la vida cotidiana); Anagrama; Barcelona; 1982.</w:t>
      </w:r>
    </w:p>
    <w:p w14:paraId="2015B994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lastRenderedPageBreak/>
        <w:t xml:space="preserve">Villanueva, Ernesto; </w:t>
      </w:r>
      <w:r w:rsidRPr="00FF4E92">
        <w:rPr>
          <w:rFonts w:cs="Calibri"/>
          <w:b/>
          <w:i/>
          <w:sz w:val="24"/>
          <w:szCs w:val="24"/>
        </w:rPr>
        <w:t>Introducción a la sociología</w:t>
      </w:r>
      <w:r w:rsidRPr="00FF4E92">
        <w:rPr>
          <w:rFonts w:cs="Calibri"/>
          <w:sz w:val="24"/>
          <w:szCs w:val="24"/>
        </w:rPr>
        <w:t xml:space="preserve">; Ernesto Villanueva; María Laura </w:t>
      </w:r>
      <w:proofErr w:type="spellStart"/>
      <w:r w:rsidRPr="00FF4E92">
        <w:rPr>
          <w:rFonts w:cs="Calibri"/>
          <w:sz w:val="24"/>
          <w:szCs w:val="24"/>
        </w:rPr>
        <w:t>Eberhardt</w:t>
      </w:r>
      <w:proofErr w:type="spellEnd"/>
      <w:r w:rsidRPr="00FF4E92">
        <w:rPr>
          <w:rFonts w:cs="Calibri"/>
          <w:sz w:val="24"/>
          <w:szCs w:val="24"/>
        </w:rPr>
        <w:t xml:space="preserve">; Lucila </w:t>
      </w:r>
      <w:proofErr w:type="spellStart"/>
      <w:r w:rsidRPr="00FF4E92">
        <w:rPr>
          <w:rFonts w:cs="Calibri"/>
          <w:sz w:val="24"/>
          <w:szCs w:val="24"/>
        </w:rPr>
        <w:t>Nejamkis</w:t>
      </w:r>
      <w:proofErr w:type="spellEnd"/>
      <w:r w:rsidRPr="00FF4E92">
        <w:rPr>
          <w:rFonts w:cs="Calibri"/>
          <w:sz w:val="24"/>
          <w:szCs w:val="24"/>
        </w:rPr>
        <w:t>; Florencio Varela; Universidad Nacional Arturo Jauretche; 2013; Capitulo 1: Lo social la naturalización de lo social.</w:t>
      </w:r>
    </w:p>
    <w:p w14:paraId="7C7D2885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Bibliografía ampliatoria del docente</w:t>
      </w:r>
    </w:p>
    <w:p w14:paraId="68887AA3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Berger, Peter; </w:t>
      </w:r>
      <w:r w:rsidRPr="00FF4E92">
        <w:rPr>
          <w:rFonts w:cs="Arial"/>
          <w:b/>
          <w:i/>
          <w:sz w:val="24"/>
          <w:szCs w:val="24"/>
        </w:rPr>
        <w:t>Introducción a la sociología</w:t>
      </w:r>
      <w:r w:rsidRPr="00FF4E92">
        <w:rPr>
          <w:rFonts w:cs="Arial"/>
          <w:sz w:val="24"/>
          <w:szCs w:val="24"/>
        </w:rPr>
        <w:t xml:space="preserve">; capítulo 4 y 5; Ed. Limusa; </w:t>
      </w:r>
      <w:proofErr w:type="spellStart"/>
      <w:r w:rsidRPr="00FF4E92">
        <w:rPr>
          <w:rFonts w:cs="Arial"/>
          <w:sz w:val="24"/>
          <w:szCs w:val="24"/>
        </w:rPr>
        <w:t>Mexico</w:t>
      </w:r>
      <w:proofErr w:type="spellEnd"/>
      <w:r w:rsidRPr="00FF4E92">
        <w:rPr>
          <w:rFonts w:cs="Arial"/>
          <w:sz w:val="24"/>
          <w:szCs w:val="24"/>
        </w:rPr>
        <w:t>; 1969.</w:t>
      </w:r>
    </w:p>
    <w:p w14:paraId="56D5B706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FDB4C07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Bloque II. Educación, homogeneidad y diversidad.</w:t>
      </w:r>
      <w:r w:rsidRPr="00FF4E92">
        <w:rPr>
          <w:rFonts w:cs="Calibri"/>
          <w:sz w:val="24"/>
          <w:szCs w:val="24"/>
        </w:rPr>
        <w:t xml:space="preserve"> La educación como transmisión inter generacional de la cultura y como fenómeno socio histórico. Su influencia en los </w:t>
      </w:r>
      <w:r w:rsidRPr="00FF4E92">
        <w:rPr>
          <w:rFonts w:cs="Arial"/>
          <w:sz w:val="24"/>
          <w:szCs w:val="24"/>
        </w:rPr>
        <w:t xml:space="preserve">procesos de reproducción o transformación del orden social. Educación, status y movilidad social. La escuela como aparato ideológico del Estado y mecanismo disciplinario al servicio del orden social. Educación y emancipación social. El proyecto educativo de la modernidad: igualdad, homogeneidad y exclusión. </w:t>
      </w:r>
      <w:r w:rsidRPr="00FF4E92">
        <w:rPr>
          <w:rFonts w:cs="Calibri"/>
          <w:sz w:val="24"/>
          <w:szCs w:val="24"/>
          <w:lang w:val="es-ES_tradnl"/>
        </w:rPr>
        <w:t xml:space="preserve">La educación como derecho: pública, laica y gratuita. </w:t>
      </w:r>
      <w:r w:rsidRPr="00FF4E92">
        <w:rPr>
          <w:rFonts w:cs="Arial"/>
          <w:sz w:val="24"/>
          <w:szCs w:val="24"/>
        </w:rPr>
        <w:t xml:space="preserve"> El papel del Estado como enunciador de lo común.  Escuela disciplinaria y simultaneidad sistémica. La sinonimia entre igualdad y homogeneidad. Civilización o barbarie: exclusión a la amenaza y lo considerado inferior. La caída de la modernidad y la crisis de legitimidad de la escuela.</w:t>
      </w:r>
    </w:p>
    <w:p w14:paraId="7B008321" w14:textId="77777777" w:rsidR="001B75CC" w:rsidRPr="00FF4E92" w:rsidRDefault="001B75CC" w:rsidP="001B75CC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5DB379FB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FF4E92">
        <w:rPr>
          <w:rFonts w:cs="Calibri"/>
          <w:sz w:val="24"/>
          <w:szCs w:val="24"/>
        </w:rPr>
        <w:t>ussel</w:t>
      </w:r>
      <w:proofErr w:type="spellEnd"/>
      <w:r w:rsidRPr="00FF4E92">
        <w:rPr>
          <w:rFonts w:cs="Calibri"/>
          <w:sz w:val="24"/>
          <w:szCs w:val="24"/>
        </w:rPr>
        <w:t xml:space="preserve">, </w:t>
      </w:r>
      <w:proofErr w:type="spellStart"/>
      <w:r w:rsidRPr="00FF4E92">
        <w:rPr>
          <w:rFonts w:cs="Calibri"/>
          <w:sz w:val="24"/>
          <w:szCs w:val="24"/>
        </w:rPr>
        <w:t>Ines</w:t>
      </w:r>
      <w:proofErr w:type="spellEnd"/>
      <w:r w:rsidRPr="00FF4E92">
        <w:rPr>
          <w:rFonts w:cs="Calibri"/>
          <w:sz w:val="24"/>
          <w:szCs w:val="24"/>
        </w:rPr>
        <w:t xml:space="preserve"> y </w:t>
      </w:r>
      <w:proofErr w:type="spellStart"/>
      <w:r w:rsidRPr="00FF4E92">
        <w:rPr>
          <w:rFonts w:cs="Calibri"/>
          <w:sz w:val="24"/>
          <w:szCs w:val="24"/>
        </w:rPr>
        <w:t>Southwell</w:t>
      </w:r>
      <w:proofErr w:type="spellEnd"/>
      <w:r w:rsidRPr="00FF4E92">
        <w:rPr>
          <w:rFonts w:cs="Calibri"/>
          <w:sz w:val="24"/>
          <w:szCs w:val="24"/>
        </w:rPr>
        <w:t xml:space="preserve">, </w:t>
      </w:r>
      <w:proofErr w:type="spellStart"/>
      <w:r w:rsidRPr="00FF4E92">
        <w:rPr>
          <w:rFonts w:cs="Calibri"/>
          <w:sz w:val="24"/>
          <w:szCs w:val="24"/>
        </w:rPr>
        <w:t>Miryam</w:t>
      </w:r>
      <w:proofErr w:type="spellEnd"/>
      <w:r w:rsidRPr="00FF4E92">
        <w:rPr>
          <w:rFonts w:cs="Calibri"/>
          <w:sz w:val="24"/>
          <w:szCs w:val="24"/>
        </w:rPr>
        <w:t xml:space="preserve">; </w:t>
      </w:r>
      <w:r w:rsidRPr="00FF4E92">
        <w:rPr>
          <w:rFonts w:cs="Calibri"/>
          <w:b/>
          <w:i/>
          <w:sz w:val="24"/>
          <w:szCs w:val="24"/>
        </w:rPr>
        <w:t>La escuela y la igualdad: renovar la apuesta</w:t>
      </w:r>
      <w:r w:rsidRPr="00FF4E92">
        <w:rPr>
          <w:rFonts w:cs="Calibri"/>
          <w:sz w:val="24"/>
          <w:szCs w:val="24"/>
        </w:rPr>
        <w:t xml:space="preserve">; en Revista El Monitor; </w:t>
      </w:r>
      <w:proofErr w:type="spellStart"/>
      <w:r w:rsidRPr="00FF4E92">
        <w:rPr>
          <w:rFonts w:cs="Calibri"/>
          <w:sz w:val="24"/>
          <w:szCs w:val="24"/>
        </w:rPr>
        <w:t>N°</w:t>
      </w:r>
      <w:proofErr w:type="spellEnd"/>
      <w:r w:rsidRPr="00FF4E92">
        <w:rPr>
          <w:rFonts w:cs="Calibri"/>
          <w:sz w:val="24"/>
          <w:szCs w:val="24"/>
        </w:rPr>
        <w:t xml:space="preserve"> 1; Ministerio de Educación de la Nación.</w:t>
      </w:r>
    </w:p>
    <w:p w14:paraId="495B68BA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  <w:lang w:eastAsia="es-AR"/>
        </w:rPr>
      </w:pPr>
      <w:proofErr w:type="spellStart"/>
      <w:r w:rsidRPr="00FF4E92">
        <w:rPr>
          <w:rFonts w:cs="Sabon-Roman"/>
          <w:color w:val="231F20"/>
          <w:sz w:val="24"/>
          <w:szCs w:val="24"/>
          <w:lang w:eastAsia="es-AR"/>
        </w:rPr>
        <w:t>Fattore</w:t>
      </w:r>
      <w:proofErr w:type="spellEnd"/>
      <w:r w:rsidRPr="00FF4E92">
        <w:rPr>
          <w:rFonts w:cs="Sabon-Roman"/>
          <w:color w:val="231F20"/>
          <w:sz w:val="24"/>
          <w:szCs w:val="24"/>
          <w:lang w:eastAsia="es-AR"/>
        </w:rPr>
        <w:t xml:space="preserve">, Natalia y Serra, Silvia; </w:t>
      </w:r>
      <w:r w:rsidRPr="00FF4E92">
        <w:rPr>
          <w:rFonts w:cs="Sabon-Roman"/>
          <w:b/>
          <w:i/>
          <w:color w:val="231F20"/>
          <w:sz w:val="24"/>
          <w:szCs w:val="24"/>
          <w:lang w:eastAsia="es-AR"/>
        </w:rPr>
        <w:t>De la escuela al sistema educativo</w:t>
      </w:r>
      <w:r w:rsidRPr="00FF4E92">
        <w:rPr>
          <w:rFonts w:cs="Sabon-Roman"/>
          <w:color w:val="231F20"/>
          <w:sz w:val="24"/>
          <w:szCs w:val="24"/>
          <w:lang w:eastAsia="es-AR"/>
        </w:rPr>
        <w:t>; en Hacer escuela; Ministerio de Educación, Ciencia y Tecnología de la Nación; Buenos Aires; 2006</w:t>
      </w:r>
      <w:r w:rsidRPr="00FF4E92">
        <w:rPr>
          <w:rFonts w:ascii="Sabon-Roman" w:hAnsi="Sabon-Roman" w:cs="Sabon-Roman"/>
          <w:color w:val="231F20"/>
          <w:sz w:val="24"/>
          <w:szCs w:val="24"/>
          <w:lang w:eastAsia="es-AR"/>
        </w:rPr>
        <w:t>.</w:t>
      </w:r>
    </w:p>
    <w:p w14:paraId="52CD798B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Gvirtz, Silvina; </w:t>
      </w:r>
      <w:r w:rsidRPr="00FF4E92">
        <w:rPr>
          <w:b/>
          <w:i/>
          <w:sz w:val="24"/>
          <w:szCs w:val="24"/>
        </w:rPr>
        <w:t>La educación ayer, hoy y mañana</w:t>
      </w:r>
      <w:r w:rsidRPr="00FF4E92">
        <w:rPr>
          <w:sz w:val="24"/>
          <w:szCs w:val="24"/>
        </w:rPr>
        <w:t xml:space="preserve">; Capítulo 3: “¿Para qué sirve la escuela?” y Capítulo 2: “¿Cuándo se inventó la escuela?”; </w:t>
      </w:r>
      <w:proofErr w:type="spellStart"/>
      <w:r w:rsidRPr="00FF4E92">
        <w:rPr>
          <w:sz w:val="24"/>
          <w:szCs w:val="24"/>
        </w:rPr>
        <w:t>Aique</w:t>
      </w:r>
      <w:proofErr w:type="spellEnd"/>
      <w:r w:rsidRPr="00FF4E92">
        <w:rPr>
          <w:sz w:val="24"/>
          <w:szCs w:val="24"/>
        </w:rPr>
        <w:t>; Buenos Aires; 2009.</w:t>
      </w:r>
    </w:p>
    <w:p w14:paraId="2FBC9866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Pineau, Pablo; </w:t>
      </w:r>
      <w:r w:rsidRPr="00FF4E92">
        <w:rPr>
          <w:rFonts w:cs="Calibri"/>
          <w:b/>
          <w:i/>
          <w:sz w:val="24"/>
          <w:szCs w:val="24"/>
        </w:rPr>
        <w:t>La educación como derecho</w:t>
      </w:r>
      <w:r w:rsidRPr="00FF4E92">
        <w:rPr>
          <w:rFonts w:cs="Calibri"/>
          <w:sz w:val="24"/>
          <w:szCs w:val="24"/>
        </w:rPr>
        <w:t xml:space="preserve">; Fe y </w:t>
      </w:r>
      <w:proofErr w:type="spellStart"/>
      <w:r w:rsidRPr="00FF4E92">
        <w:rPr>
          <w:rFonts w:cs="Calibri"/>
          <w:sz w:val="24"/>
          <w:szCs w:val="24"/>
        </w:rPr>
        <w:t>Alegria</w:t>
      </w:r>
      <w:proofErr w:type="spellEnd"/>
      <w:r w:rsidRPr="00FF4E92">
        <w:rPr>
          <w:rFonts w:cs="Calibri"/>
          <w:sz w:val="24"/>
          <w:szCs w:val="24"/>
        </w:rPr>
        <w:t>. Movimiento de educación popular e integración social; 2008</w:t>
      </w:r>
    </w:p>
    <w:p w14:paraId="712F3ECB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</w:t>
      </w:r>
      <w:r w:rsidRPr="00FF4E92">
        <w:rPr>
          <w:b/>
          <w:i/>
          <w:sz w:val="24"/>
          <w:szCs w:val="24"/>
        </w:rPr>
        <w:t>Educación para el desierto argentino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La educación política; </w:t>
      </w:r>
      <w:proofErr w:type="spellStart"/>
      <w:r w:rsidRPr="00FF4E92">
        <w:rPr>
          <w:sz w:val="24"/>
          <w:szCs w:val="24"/>
        </w:rPr>
        <w:t>aidós</w:t>
      </w:r>
      <w:proofErr w:type="spellEnd"/>
      <w:r w:rsidRPr="00FF4E92">
        <w:rPr>
          <w:sz w:val="24"/>
          <w:szCs w:val="24"/>
        </w:rPr>
        <w:t>; Buenos Aires; 2007.</w:t>
      </w:r>
    </w:p>
    <w:p w14:paraId="3C88E55C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Bibliografía ampliatoria del docente</w:t>
      </w:r>
    </w:p>
    <w:p w14:paraId="6AD3DEC0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sz w:val="24"/>
          <w:szCs w:val="24"/>
        </w:rPr>
        <w:t> </w:t>
      </w:r>
      <w:proofErr w:type="spellStart"/>
      <w:r w:rsidRPr="00FF4E92">
        <w:rPr>
          <w:rFonts w:cs="Calibri"/>
          <w:sz w:val="24"/>
          <w:szCs w:val="24"/>
        </w:rPr>
        <w:t>Duschatzky</w:t>
      </w:r>
      <w:proofErr w:type="spellEnd"/>
      <w:r w:rsidRPr="00FF4E92">
        <w:rPr>
          <w:rFonts w:cs="Calibri"/>
          <w:sz w:val="24"/>
          <w:szCs w:val="24"/>
        </w:rPr>
        <w:t xml:space="preserve">, Silvia; </w:t>
      </w:r>
      <w:r w:rsidRPr="00FF4E92">
        <w:rPr>
          <w:rFonts w:cs="Calibri"/>
          <w:b/>
          <w:i/>
          <w:sz w:val="24"/>
          <w:szCs w:val="24"/>
        </w:rPr>
        <w:t>De la diversidad en la escuela a la escuela de la diversidad</w:t>
      </w:r>
      <w:r w:rsidRPr="00FF4E92">
        <w:rPr>
          <w:rFonts w:cs="Calibri"/>
          <w:sz w:val="24"/>
          <w:szCs w:val="24"/>
        </w:rPr>
        <w:t xml:space="preserve">; En Revista Propuesta Educativa; Año 7; </w:t>
      </w:r>
      <w:proofErr w:type="spellStart"/>
      <w:r w:rsidRPr="00FF4E92">
        <w:rPr>
          <w:rFonts w:cs="Calibri"/>
          <w:sz w:val="24"/>
          <w:szCs w:val="24"/>
        </w:rPr>
        <w:t>N°</w:t>
      </w:r>
      <w:proofErr w:type="spellEnd"/>
      <w:r w:rsidRPr="00FF4E92">
        <w:rPr>
          <w:rFonts w:cs="Calibri"/>
          <w:sz w:val="24"/>
          <w:szCs w:val="24"/>
        </w:rPr>
        <w:t xml:space="preserve"> 15; Buenos Aires; 1996.</w:t>
      </w:r>
    </w:p>
    <w:p w14:paraId="5D154DE8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Freire, Paulo; </w:t>
      </w:r>
      <w:r w:rsidRPr="00FF4E92">
        <w:rPr>
          <w:b/>
          <w:i/>
          <w:sz w:val="24"/>
          <w:szCs w:val="24"/>
        </w:rPr>
        <w:t>Pedagogía de la autonomía</w:t>
      </w:r>
      <w:r w:rsidRPr="00FF4E92">
        <w:rPr>
          <w:sz w:val="24"/>
          <w:szCs w:val="24"/>
        </w:rPr>
        <w:t>; Siglo XXI; Buenos Aires; 2014.</w:t>
      </w:r>
    </w:p>
    <w:p w14:paraId="155A9553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>Giroux, Henry; “</w:t>
      </w:r>
      <w:r w:rsidRPr="00FF4E92">
        <w:rPr>
          <w:b/>
          <w:i/>
          <w:sz w:val="24"/>
          <w:szCs w:val="24"/>
        </w:rPr>
        <w:t>Teorías de la reproducción y la resistencia en la nueva sociología de la educación: un análisis crítico</w:t>
      </w:r>
      <w:r w:rsidRPr="00FF4E92">
        <w:rPr>
          <w:sz w:val="24"/>
          <w:szCs w:val="24"/>
        </w:rPr>
        <w:t xml:space="preserve">”; Harvard </w:t>
      </w:r>
      <w:proofErr w:type="spellStart"/>
      <w:r w:rsidRPr="00FF4E92">
        <w:rPr>
          <w:sz w:val="24"/>
          <w:szCs w:val="24"/>
        </w:rPr>
        <w:t>Education</w:t>
      </w:r>
      <w:proofErr w:type="spellEnd"/>
      <w:r w:rsidRPr="00FF4E92">
        <w:rPr>
          <w:sz w:val="24"/>
          <w:szCs w:val="24"/>
        </w:rPr>
        <w:t xml:space="preserve"> </w:t>
      </w:r>
      <w:proofErr w:type="spellStart"/>
      <w:r w:rsidRPr="00FF4E92">
        <w:rPr>
          <w:sz w:val="24"/>
          <w:szCs w:val="24"/>
        </w:rPr>
        <w:t>Review</w:t>
      </w:r>
      <w:proofErr w:type="spellEnd"/>
      <w:r w:rsidRPr="00FF4E92">
        <w:rPr>
          <w:sz w:val="24"/>
          <w:szCs w:val="24"/>
        </w:rPr>
        <w:t xml:space="preserve"> Número 3; Buenos aires; 1983. </w:t>
      </w:r>
    </w:p>
    <w:p w14:paraId="4F1F5509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  <w:proofErr w:type="spellStart"/>
      <w:r w:rsidRPr="00FF4E92">
        <w:rPr>
          <w:rFonts w:cs="Arial"/>
          <w:sz w:val="24"/>
          <w:szCs w:val="24"/>
          <w:lang w:val="es-ES_tradnl"/>
        </w:rPr>
        <w:t>Ouviña</w:t>
      </w:r>
      <w:proofErr w:type="spellEnd"/>
      <w:r w:rsidRPr="00FF4E92">
        <w:rPr>
          <w:rFonts w:cs="Arial"/>
          <w:sz w:val="24"/>
          <w:szCs w:val="24"/>
          <w:lang w:val="es-ES_tradnl"/>
        </w:rPr>
        <w:t xml:space="preserve">, </w:t>
      </w:r>
      <w:proofErr w:type="spellStart"/>
      <w:r w:rsidRPr="00FF4E92">
        <w:rPr>
          <w:rFonts w:cs="Arial"/>
          <w:sz w:val="24"/>
          <w:szCs w:val="24"/>
          <w:lang w:val="es-ES_tradnl"/>
        </w:rPr>
        <w:t>Hernan</w:t>
      </w:r>
      <w:proofErr w:type="spellEnd"/>
      <w:r w:rsidRPr="00FF4E92">
        <w:rPr>
          <w:rFonts w:cs="Arial"/>
          <w:sz w:val="24"/>
          <w:szCs w:val="24"/>
          <w:lang w:val="es-ES_tradnl"/>
        </w:rPr>
        <w:t xml:space="preserve">; </w:t>
      </w:r>
      <w:r w:rsidRPr="00FF4E92">
        <w:rPr>
          <w:rFonts w:cs="Arial"/>
          <w:b/>
          <w:i/>
          <w:sz w:val="24"/>
          <w:szCs w:val="24"/>
          <w:lang w:val="es-ES_tradnl"/>
        </w:rPr>
        <w:t>Educación popular y disputa hegemónica</w:t>
      </w:r>
      <w:r w:rsidRPr="00FF4E92">
        <w:rPr>
          <w:rFonts w:cs="Arial"/>
          <w:sz w:val="24"/>
          <w:szCs w:val="24"/>
          <w:lang w:val="es-ES_tradnl"/>
        </w:rPr>
        <w:t>; Instituto de Investigaciones Gino Germani</w:t>
      </w:r>
    </w:p>
    <w:p w14:paraId="000E29D8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  <w:lang w:val="es-ES_tradnl"/>
        </w:rPr>
      </w:pPr>
    </w:p>
    <w:p w14:paraId="3A67E257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b/>
          <w:sz w:val="24"/>
          <w:szCs w:val="24"/>
        </w:rPr>
        <w:t xml:space="preserve">Bloque III. El rol socializador de la escuela en crisis. </w:t>
      </w:r>
      <w:r w:rsidRPr="00FF4E92">
        <w:rPr>
          <w:rFonts w:cs="Arial"/>
          <w:sz w:val="24"/>
          <w:szCs w:val="24"/>
        </w:rPr>
        <w:t xml:space="preserve">Desencuentros </w:t>
      </w:r>
      <w:r w:rsidRPr="00FF4E92">
        <w:rPr>
          <w:rFonts w:cs="Calibri"/>
          <w:sz w:val="24"/>
          <w:szCs w:val="24"/>
        </w:rPr>
        <w:t xml:space="preserve">entre escuela y sociedad: ¿Para qué sociedad fue pensada nuestra escuela? </w:t>
      </w:r>
      <w:r w:rsidRPr="00FF4E92">
        <w:rPr>
          <w:rFonts w:cs="Arial"/>
          <w:sz w:val="24"/>
          <w:szCs w:val="24"/>
        </w:rPr>
        <w:t xml:space="preserve">El paso del paradigma de la homogeneidad al paradigma de la diversidad. </w:t>
      </w:r>
      <w:r w:rsidRPr="00FF4E92">
        <w:rPr>
          <w:rFonts w:cs="Calibri"/>
          <w:sz w:val="24"/>
          <w:szCs w:val="24"/>
        </w:rPr>
        <w:t xml:space="preserve">La pérdida de centralidad del discurso escolar en un contexto de modernidad líquida. </w:t>
      </w:r>
      <w:r w:rsidRPr="00FF4E92">
        <w:rPr>
          <w:rFonts w:cs="Arial"/>
          <w:sz w:val="24"/>
          <w:szCs w:val="24"/>
        </w:rPr>
        <w:t xml:space="preserve">Educación y desigualdad: tres riesgos para pensar. El riesgo de la caída de la capacidad instituyente de la escuela por educar en la diversidad (Que educar en la diversidad no implique renunciar a la unidad). El riesgo de que atender a la diversidad establezca diferenciaciones en la calidad educativa. El debate entre inclusión y calidad. El riesgo de que la escuela no se adapte a los cambios socioculturales, o que lo haga renunciando a su tarea. ¿Qué cambios puede permitirse la escuela para seguir siendo escuela? </w:t>
      </w:r>
    </w:p>
    <w:p w14:paraId="3E62F727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75B06895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</w:t>
      </w:r>
      <w:r w:rsidRPr="00FF4E92">
        <w:rPr>
          <w:b/>
          <w:bCs/>
          <w:i/>
          <w:iCs/>
          <w:sz w:val="24"/>
          <w:szCs w:val="24"/>
        </w:rPr>
        <w:t>Inclusión y calidad como políticas educativas de Estado: o el mérito como opción única del mercado</w:t>
      </w:r>
      <w:r w:rsidRPr="00FF4E92">
        <w:rPr>
          <w:sz w:val="24"/>
          <w:szCs w:val="24"/>
        </w:rPr>
        <w:t>; Introducción; Asociación Educacionista Argentina Editorial Stella; Buenos Aires; 2016.</w:t>
      </w:r>
    </w:p>
    <w:p w14:paraId="0BA91F08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Kornblit</w:t>
      </w:r>
      <w:proofErr w:type="spellEnd"/>
      <w:r w:rsidRPr="00FF4E92">
        <w:rPr>
          <w:sz w:val="24"/>
          <w:szCs w:val="24"/>
        </w:rPr>
        <w:t xml:space="preserve">, Ana </w:t>
      </w:r>
      <w:proofErr w:type="spellStart"/>
      <w:r w:rsidRPr="00FF4E92">
        <w:rPr>
          <w:sz w:val="24"/>
          <w:szCs w:val="24"/>
        </w:rPr>
        <w:t>Lia</w:t>
      </w:r>
      <w:proofErr w:type="spellEnd"/>
      <w:r w:rsidRPr="00FF4E92">
        <w:rPr>
          <w:sz w:val="24"/>
          <w:szCs w:val="24"/>
        </w:rPr>
        <w:t xml:space="preserve">; </w:t>
      </w:r>
      <w:r w:rsidRPr="00FF4E92">
        <w:rPr>
          <w:b/>
          <w:i/>
          <w:sz w:val="24"/>
          <w:szCs w:val="24"/>
        </w:rPr>
        <w:t>Transformaciones en el lugar de la escuela y en las relaciones entre jóvenes y adultos</w:t>
      </w:r>
      <w:r w:rsidRPr="00FF4E92">
        <w:rPr>
          <w:sz w:val="24"/>
          <w:szCs w:val="24"/>
        </w:rPr>
        <w:t>; Ministerio de Educación.</w:t>
      </w:r>
    </w:p>
    <w:p w14:paraId="721835F8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</w:t>
      </w:r>
      <w:r w:rsidRPr="00FF4E92">
        <w:rPr>
          <w:b/>
          <w:i/>
          <w:sz w:val="24"/>
          <w:szCs w:val="24"/>
        </w:rPr>
        <w:t xml:space="preserve">Escuela y sociedad, o el largo adiós a las </w:t>
      </w:r>
      <w:proofErr w:type="spellStart"/>
      <w:r w:rsidRPr="00FF4E92">
        <w:rPr>
          <w:b/>
          <w:i/>
          <w:sz w:val="24"/>
          <w:szCs w:val="24"/>
        </w:rPr>
        <w:t>mamushkas</w:t>
      </w:r>
      <w:proofErr w:type="spellEnd"/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>, Isabelino; La educación política; Paidós; Buenos Aires; 2007.</w:t>
      </w:r>
    </w:p>
    <w:p w14:paraId="25DB508C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Tenti Fanfani, Emilio; </w:t>
      </w:r>
      <w:r w:rsidRPr="00FF4E92">
        <w:rPr>
          <w:b/>
          <w:bCs/>
          <w:i/>
          <w:iCs/>
          <w:sz w:val="24"/>
          <w:szCs w:val="24"/>
        </w:rPr>
        <w:t>La escuela y la cuestión social: Ensayos de sociología de la educación</w:t>
      </w:r>
      <w:r w:rsidRPr="00FF4E92">
        <w:rPr>
          <w:sz w:val="24"/>
          <w:szCs w:val="24"/>
        </w:rPr>
        <w:t>; Capítulo 5: Exclusión social con escolarización masiva. Algunos dilemas de política; Siglo XXI Editores; Buenos Aires; 2015.</w:t>
      </w:r>
    </w:p>
    <w:p w14:paraId="69ADE299" w14:textId="77777777" w:rsidR="001B75CC" w:rsidRPr="00FF4E92" w:rsidRDefault="001B75CC" w:rsidP="001B75CC">
      <w:pPr>
        <w:spacing w:after="0" w:line="360" w:lineRule="auto"/>
        <w:jc w:val="both"/>
        <w:rPr>
          <w:rFonts w:cs="Sabon-Roman"/>
          <w:b/>
          <w:bCs/>
          <w:color w:val="231F20"/>
          <w:sz w:val="24"/>
          <w:szCs w:val="24"/>
          <w:lang w:eastAsia="es-AR"/>
        </w:rPr>
      </w:pPr>
      <w:r w:rsidRPr="00FF4E92">
        <w:rPr>
          <w:rFonts w:cs="Sabon-Roman"/>
          <w:b/>
          <w:bCs/>
          <w:color w:val="231F20"/>
          <w:sz w:val="24"/>
          <w:szCs w:val="24"/>
          <w:lang w:eastAsia="es-AR"/>
        </w:rPr>
        <w:t>Bibliografía Ampliatoria del docente</w:t>
      </w:r>
    </w:p>
    <w:p w14:paraId="4EDAFC52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Dussel, Inés y </w:t>
      </w:r>
      <w:proofErr w:type="spellStart"/>
      <w:r w:rsidRPr="00FF4E92">
        <w:rPr>
          <w:rFonts w:cs="Arial"/>
          <w:sz w:val="24"/>
          <w:szCs w:val="24"/>
        </w:rPr>
        <w:t>Southwell</w:t>
      </w:r>
      <w:proofErr w:type="spellEnd"/>
      <w:r w:rsidRPr="00FF4E92">
        <w:rPr>
          <w:rFonts w:cs="Arial"/>
          <w:sz w:val="24"/>
          <w:szCs w:val="24"/>
        </w:rPr>
        <w:t xml:space="preserve">, Myriam; </w:t>
      </w:r>
      <w:r w:rsidRPr="00FF4E92">
        <w:rPr>
          <w:rFonts w:cs="Arial"/>
          <w:b/>
          <w:i/>
          <w:sz w:val="24"/>
          <w:szCs w:val="24"/>
        </w:rPr>
        <w:t xml:space="preserve">¿Qué y </w:t>
      </w:r>
      <w:proofErr w:type="spellStart"/>
      <w:r w:rsidRPr="00FF4E92">
        <w:rPr>
          <w:rFonts w:cs="Arial"/>
          <w:b/>
          <w:i/>
          <w:sz w:val="24"/>
          <w:szCs w:val="24"/>
        </w:rPr>
        <w:t>cuanto</w:t>
      </w:r>
      <w:proofErr w:type="spellEnd"/>
      <w:r w:rsidRPr="00FF4E92">
        <w:rPr>
          <w:rFonts w:cs="Arial"/>
          <w:b/>
          <w:i/>
          <w:sz w:val="24"/>
          <w:szCs w:val="24"/>
        </w:rPr>
        <w:t xml:space="preserve"> puede una escuela?</w:t>
      </w:r>
      <w:r w:rsidRPr="00FF4E92">
        <w:rPr>
          <w:rFonts w:cs="Arial"/>
          <w:sz w:val="24"/>
          <w:szCs w:val="24"/>
        </w:rPr>
        <w:t>; en Revista El monitor de la educación; Ministerio de Educación de la Nación; número 25; noviembre 2010.</w:t>
      </w:r>
    </w:p>
    <w:p w14:paraId="420EAF7A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Sabon-Roman"/>
          <w:color w:val="231F20"/>
          <w:sz w:val="24"/>
          <w:szCs w:val="24"/>
          <w:lang w:eastAsia="es-AR"/>
        </w:rPr>
        <w:t xml:space="preserve">Ministerio de Educación, Ciencia y Tecnología de la Nación; </w:t>
      </w:r>
      <w:r w:rsidRPr="00FF4E92">
        <w:rPr>
          <w:rFonts w:cs="Sabon-Roman"/>
          <w:b/>
          <w:i/>
          <w:color w:val="231F20"/>
          <w:sz w:val="24"/>
          <w:szCs w:val="24"/>
          <w:lang w:eastAsia="es-AR"/>
        </w:rPr>
        <w:t>Las condiciones de enseñanza en contextos críticos; Parte 1: Enseñar en la escuela hoy</w:t>
      </w:r>
      <w:r w:rsidRPr="00FF4E92">
        <w:rPr>
          <w:rFonts w:cs="Sabon-Roman"/>
          <w:color w:val="231F20"/>
          <w:sz w:val="24"/>
          <w:szCs w:val="24"/>
          <w:lang w:eastAsia="es-AR"/>
        </w:rPr>
        <w:t>; Ministerio de Educación, Ciencia y Tecnología de la Nación; Buenos Aires; 2006</w:t>
      </w:r>
      <w:r w:rsidRPr="00FF4E92">
        <w:rPr>
          <w:rFonts w:ascii="Sabon-Roman" w:hAnsi="Sabon-Roman" w:cs="Sabon-Roman"/>
          <w:color w:val="231F20"/>
          <w:sz w:val="24"/>
          <w:szCs w:val="24"/>
          <w:lang w:eastAsia="es-AR"/>
        </w:rPr>
        <w:t>.</w:t>
      </w:r>
      <w:r w:rsidRPr="00FF4E92">
        <w:rPr>
          <w:rFonts w:cs="Calibri"/>
          <w:sz w:val="24"/>
          <w:szCs w:val="24"/>
        </w:rPr>
        <w:t xml:space="preserve"> </w:t>
      </w:r>
    </w:p>
    <w:p w14:paraId="486EC56B" w14:textId="77777777" w:rsidR="001B75CC" w:rsidRPr="00FF4E92" w:rsidRDefault="001B75CC" w:rsidP="001B75CC">
      <w:pPr>
        <w:spacing w:after="0" w:line="360" w:lineRule="auto"/>
        <w:ind w:right="79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>Terigi, Flavia; “</w:t>
      </w:r>
      <w:r w:rsidRPr="00FF4E92">
        <w:rPr>
          <w:rFonts w:cs="Calibri"/>
          <w:b/>
          <w:i/>
          <w:sz w:val="24"/>
          <w:szCs w:val="24"/>
        </w:rPr>
        <w:t>Los cambios en el formato de la escuela secundaria argentina: por qué son necesarios, por qué son tan difíciles”</w:t>
      </w:r>
      <w:r w:rsidRPr="00FF4E92">
        <w:rPr>
          <w:rFonts w:cs="Calibri"/>
          <w:sz w:val="24"/>
          <w:szCs w:val="24"/>
        </w:rPr>
        <w:t xml:space="preserve">; </w:t>
      </w:r>
      <w:proofErr w:type="gramStart"/>
      <w:r w:rsidRPr="00FF4E92">
        <w:rPr>
          <w:rFonts w:cs="Calibri"/>
          <w:sz w:val="24"/>
          <w:szCs w:val="24"/>
        </w:rPr>
        <w:t>en  Revista</w:t>
      </w:r>
      <w:proofErr w:type="gramEnd"/>
      <w:r w:rsidRPr="00FF4E92">
        <w:rPr>
          <w:rFonts w:cs="Calibri"/>
          <w:sz w:val="24"/>
          <w:szCs w:val="24"/>
        </w:rPr>
        <w:t xml:space="preserve"> Propuesta Educativa Nº29; </w:t>
      </w:r>
      <w:proofErr w:type="spellStart"/>
      <w:r w:rsidRPr="00FF4E92">
        <w:rPr>
          <w:rFonts w:cs="Calibri"/>
          <w:sz w:val="24"/>
          <w:szCs w:val="24"/>
        </w:rPr>
        <w:t>Flacso</w:t>
      </w:r>
      <w:proofErr w:type="spellEnd"/>
      <w:r w:rsidRPr="00FF4E92">
        <w:rPr>
          <w:rFonts w:cs="Calibri"/>
          <w:sz w:val="24"/>
          <w:szCs w:val="24"/>
        </w:rPr>
        <w:t>; Buenos Aires; 2008.</w:t>
      </w:r>
    </w:p>
    <w:p w14:paraId="5C987B80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60C6D156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 xml:space="preserve">Bloque IV. Educación, desigualdad y violencia. </w:t>
      </w:r>
      <w:r w:rsidRPr="00FF4E92">
        <w:rPr>
          <w:rFonts w:cs="Calibri"/>
          <w:sz w:val="24"/>
          <w:szCs w:val="24"/>
        </w:rPr>
        <w:t xml:space="preserve">Educación, pobreza e inclusión educativa: con la igualdad no alcanza (o la escuela sola no puede).  La inclusión excluyente. Desigualdad económica y capital cultural. </w:t>
      </w:r>
      <w:r w:rsidRPr="00FF4E92">
        <w:rPr>
          <w:sz w:val="24"/>
          <w:szCs w:val="24"/>
        </w:rPr>
        <w:t>Relaciones entre trayectorias sociales y trayectorias educativas. El desafío de la equidad:</w:t>
      </w:r>
      <w:r w:rsidRPr="00FF4E92">
        <w:rPr>
          <w:rFonts w:cs="Calibri"/>
          <w:sz w:val="24"/>
          <w:szCs w:val="24"/>
        </w:rPr>
        <w:t xml:space="preserve"> la necesidad de establecer prácticas pedagógicas compensatorias y el riesgo de las “pedagogías de la pobreza”. Las perspectivas meritocráticas. </w:t>
      </w:r>
      <w:r w:rsidRPr="00FF4E92">
        <w:rPr>
          <w:sz w:val="24"/>
          <w:szCs w:val="24"/>
        </w:rPr>
        <w:t xml:space="preserve">Delito e inseguridad: el discurso </w:t>
      </w:r>
      <w:proofErr w:type="spellStart"/>
      <w:r w:rsidRPr="00FF4E92">
        <w:rPr>
          <w:sz w:val="24"/>
          <w:szCs w:val="24"/>
        </w:rPr>
        <w:t>punitivista</w:t>
      </w:r>
      <w:proofErr w:type="spellEnd"/>
      <w:r w:rsidRPr="00FF4E92">
        <w:rPr>
          <w:sz w:val="24"/>
          <w:szCs w:val="24"/>
        </w:rPr>
        <w:t xml:space="preserve"> como razón de Estado. Nuevas exclusiones: la criminalización de las infancias y juventudes. Desigualdad, violencia y racismos: el camino de la exclusión educativa. </w:t>
      </w:r>
      <w:r w:rsidRPr="00FF4E92">
        <w:rPr>
          <w:rFonts w:cs="Calibri"/>
          <w:sz w:val="24"/>
          <w:szCs w:val="24"/>
        </w:rPr>
        <w:t>Situaciones de conflicto en las escuelas: v</w:t>
      </w:r>
      <w:r w:rsidRPr="00FF4E92">
        <w:rPr>
          <w:rFonts w:cs="Arial"/>
          <w:sz w:val="24"/>
          <w:szCs w:val="24"/>
        </w:rPr>
        <w:t xml:space="preserve">iolencia escolar.  </w:t>
      </w:r>
    </w:p>
    <w:p w14:paraId="4659C967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7D90433D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Caplan, Karina; </w:t>
      </w:r>
      <w:r w:rsidRPr="00FF4E92">
        <w:rPr>
          <w:b/>
          <w:bCs/>
          <w:i/>
          <w:iCs/>
          <w:sz w:val="24"/>
          <w:szCs w:val="24"/>
        </w:rPr>
        <w:t>La meritocracia educativa y el inconsciente colectivo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Inclusión y calidad como políticas educativas de Estado: o el </w:t>
      </w:r>
      <w:proofErr w:type="spellStart"/>
      <w:r w:rsidRPr="00FF4E92">
        <w:rPr>
          <w:sz w:val="24"/>
          <w:szCs w:val="24"/>
        </w:rPr>
        <w:t>mértio</w:t>
      </w:r>
      <w:proofErr w:type="spellEnd"/>
      <w:r w:rsidRPr="00FF4E92">
        <w:rPr>
          <w:sz w:val="24"/>
          <w:szCs w:val="24"/>
        </w:rPr>
        <w:t xml:space="preserve"> como opción única del mercado; Asociación Educacionista Argentina Editorial Stella; Buenos Aires; 2016.</w:t>
      </w:r>
    </w:p>
    <w:p w14:paraId="22707EA9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Dussel, Inés; </w:t>
      </w:r>
      <w:r w:rsidRPr="00FF4E92">
        <w:rPr>
          <w:rFonts w:cs="Calibri"/>
          <w:b/>
          <w:i/>
          <w:sz w:val="24"/>
          <w:szCs w:val="24"/>
        </w:rPr>
        <w:t>¿Qué lugar tiene la escuela media en la producción y reproducción de la desigualdad?</w:t>
      </w:r>
      <w:r w:rsidRPr="00FF4E92">
        <w:rPr>
          <w:rFonts w:cs="Calibri"/>
          <w:sz w:val="24"/>
          <w:szCs w:val="24"/>
        </w:rPr>
        <w:t xml:space="preserve"> Elementos para el debate; en Revista de Política Educativa; Prometeo; Buenos Aires; 2009.</w:t>
      </w:r>
    </w:p>
    <w:p w14:paraId="50B7EAD7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Favilli</w:t>
      </w:r>
      <w:proofErr w:type="spellEnd"/>
      <w:r w:rsidRPr="00FF4E92">
        <w:rPr>
          <w:sz w:val="24"/>
          <w:szCs w:val="24"/>
        </w:rPr>
        <w:t xml:space="preserve">, Graciela; </w:t>
      </w:r>
      <w:r w:rsidRPr="00FF4E92">
        <w:rPr>
          <w:b/>
          <w:bCs/>
          <w:i/>
          <w:iCs/>
          <w:sz w:val="24"/>
          <w:szCs w:val="24"/>
        </w:rPr>
        <w:t>La enseñanza como política de inclusión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Inclusión y calidad como políticas educativas de Estado: o el </w:t>
      </w:r>
      <w:proofErr w:type="spellStart"/>
      <w:r w:rsidRPr="00FF4E92">
        <w:rPr>
          <w:sz w:val="24"/>
          <w:szCs w:val="24"/>
        </w:rPr>
        <w:t>mértio</w:t>
      </w:r>
      <w:proofErr w:type="spellEnd"/>
      <w:r w:rsidRPr="00FF4E92">
        <w:rPr>
          <w:sz w:val="24"/>
          <w:szCs w:val="24"/>
        </w:rPr>
        <w:t xml:space="preserve"> como opción única del mercado; Asociación Educacionista Argentina Editorial Stella; Buenos Aires; 2016.</w:t>
      </w:r>
    </w:p>
    <w:p w14:paraId="3AB924F4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Sabon-Roman"/>
          <w:sz w:val="24"/>
          <w:szCs w:val="24"/>
        </w:rPr>
      </w:pPr>
      <w:r w:rsidRPr="00FF4E92">
        <w:rPr>
          <w:rFonts w:cs="Sabon-Roman"/>
          <w:sz w:val="24"/>
          <w:szCs w:val="24"/>
        </w:rPr>
        <w:t xml:space="preserve">Ministerio de Educación, Ciencia y Tecnología de la Nación; </w:t>
      </w:r>
      <w:r w:rsidRPr="00FF4E92">
        <w:rPr>
          <w:rFonts w:cs="MrsEavesBold"/>
          <w:b/>
          <w:bCs/>
          <w:i/>
          <w:sz w:val="24"/>
          <w:szCs w:val="24"/>
        </w:rPr>
        <w:t>La equidad como estrategia de búsqueda de la igualdad</w:t>
      </w:r>
      <w:r w:rsidRPr="00FF4E92">
        <w:rPr>
          <w:rFonts w:cs="MrsEavesBold"/>
          <w:b/>
          <w:bCs/>
          <w:sz w:val="24"/>
          <w:szCs w:val="24"/>
        </w:rPr>
        <w:t xml:space="preserve">; </w:t>
      </w:r>
      <w:r w:rsidRPr="00FF4E92">
        <w:rPr>
          <w:rFonts w:cs="MrsEavesBold"/>
          <w:bCs/>
          <w:sz w:val="24"/>
          <w:szCs w:val="24"/>
        </w:rPr>
        <w:t>en</w:t>
      </w:r>
      <w:r w:rsidRPr="00FF4E92">
        <w:rPr>
          <w:rFonts w:cs="MrsEavesBold"/>
          <w:b/>
          <w:bCs/>
          <w:sz w:val="24"/>
          <w:szCs w:val="24"/>
        </w:rPr>
        <w:t xml:space="preserve"> </w:t>
      </w:r>
      <w:r w:rsidRPr="00FF4E92">
        <w:rPr>
          <w:rFonts w:cs="Sabon-Roman"/>
          <w:sz w:val="24"/>
          <w:szCs w:val="24"/>
        </w:rPr>
        <w:t>Educación y desigualdad social; Ministerio de Educación, Ciencia y Tecnología de la Nación; Buenos Aires; 2006.</w:t>
      </w:r>
    </w:p>
    <w:p w14:paraId="6BCB7F3A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Puigross</w:t>
      </w:r>
      <w:proofErr w:type="spellEnd"/>
      <w:r w:rsidRPr="00FF4E92">
        <w:rPr>
          <w:sz w:val="24"/>
          <w:szCs w:val="24"/>
        </w:rPr>
        <w:t xml:space="preserve">, Adriana; </w:t>
      </w:r>
      <w:r w:rsidRPr="00FF4E92">
        <w:rPr>
          <w:b/>
          <w:i/>
          <w:sz w:val="24"/>
          <w:szCs w:val="24"/>
        </w:rPr>
        <w:t>Incluir y enseñar saberes socialmente productivos</w:t>
      </w:r>
      <w:r w:rsidRPr="00FF4E92">
        <w:rPr>
          <w:sz w:val="24"/>
          <w:szCs w:val="24"/>
        </w:rPr>
        <w:t>; en Revista El Monitor; Año 5 – Número 5; Ministerio de Educación de la Nación; Buenos Aires; 2005.</w:t>
      </w:r>
    </w:p>
    <w:p w14:paraId="78DCC50F" w14:textId="77777777" w:rsidR="001B75CC" w:rsidRPr="00FF4E92" w:rsidRDefault="001B75CC" w:rsidP="001B75CC">
      <w:pPr>
        <w:tabs>
          <w:tab w:val="left" w:pos="3402"/>
        </w:tabs>
        <w:spacing w:after="0" w:line="360" w:lineRule="auto"/>
        <w:jc w:val="both"/>
        <w:rPr>
          <w:sz w:val="24"/>
          <w:szCs w:val="24"/>
          <w:lang w:val="es-ES_tradnl"/>
        </w:rPr>
      </w:pPr>
      <w:r w:rsidRPr="00FF4E92">
        <w:rPr>
          <w:sz w:val="24"/>
          <w:szCs w:val="24"/>
          <w:lang w:val="es-ES_tradnl"/>
        </w:rPr>
        <w:t xml:space="preserve">Varios autores/as; </w:t>
      </w:r>
      <w:r w:rsidRPr="00FF4E92">
        <w:rPr>
          <w:b/>
          <w:bCs/>
          <w:i/>
          <w:iCs/>
          <w:sz w:val="24"/>
          <w:szCs w:val="24"/>
          <w:lang w:val="es-ES_tradnl"/>
        </w:rPr>
        <w:t>Educación y meritocracia</w:t>
      </w:r>
      <w:r w:rsidRPr="00FF4E92">
        <w:rPr>
          <w:sz w:val="24"/>
          <w:szCs w:val="24"/>
          <w:lang w:val="es-ES_tradnl"/>
        </w:rPr>
        <w:t>; Selección de textos de la cátedra.</w:t>
      </w:r>
    </w:p>
    <w:p w14:paraId="4880CD5B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Sabon-Roman"/>
          <w:b/>
          <w:sz w:val="24"/>
          <w:szCs w:val="24"/>
        </w:rPr>
      </w:pPr>
      <w:r w:rsidRPr="00FF4E92">
        <w:rPr>
          <w:rFonts w:cs="Sabon-Roman"/>
          <w:b/>
          <w:sz w:val="24"/>
          <w:szCs w:val="24"/>
        </w:rPr>
        <w:t>Bibliografía Ampliatoria del docente</w:t>
      </w:r>
    </w:p>
    <w:p w14:paraId="1052EE1C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Caplan, Karina; </w:t>
      </w:r>
      <w:r w:rsidRPr="00FF4E92">
        <w:rPr>
          <w:rFonts w:cs="Calibri"/>
          <w:b/>
          <w:i/>
          <w:sz w:val="24"/>
          <w:szCs w:val="24"/>
        </w:rPr>
        <w:t>Jóvenes en turbulencia. Miradas contra la criminalización de los estudiantes</w:t>
      </w:r>
      <w:r w:rsidRPr="00FF4E92">
        <w:rPr>
          <w:rFonts w:cs="Calibri"/>
          <w:sz w:val="24"/>
          <w:szCs w:val="24"/>
        </w:rPr>
        <w:t xml:space="preserve">; En Revista Propuesta Educativa </w:t>
      </w:r>
      <w:proofErr w:type="spellStart"/>
      <w:r w:rsidRPr="00FF4E92">
        <w:rPr>
          <w:rFonts w:cs="Calibri"/>
          <w:sz w:val="24"/>
          <w:szCs w:val="24"/>
        </w:rPr>
        <w:t>N°</w:t>
      </w:r>
      <w:proofErr w:type="spellEnd"/>
      <w:r w:rsidRPr="00FF4E92">
        <w:rPr>
          <w:rFonts w:cs="Calibri"/>
          <w:sz w:val="24"/>
          <w:szCs w:val="24"/>
        </w:rPr>
        <w:t xml:space="preserve"> 35; Año 20; </w:t>
      </w:r>
      <w:proofErr w:type="gramStart"/>
      <w:r w:rsidRPr="00FF4E92">
        <w:rPr>
          <w:rFonts w:cs="Calibri"/>
          <w:sz w:val="24"/>
          <w:szCs w:val="24"/>
        </w:rPr>
        <w:t>Junio</w:t>
      </w:r>
      <w:proofErr w:type="gramEnd"/>
      <w:r w:rsidRPr="00FF4E92">
        <w:rPr>
          <w:rFonts w:cs="Calibri"/>
          <w:sz w:val="24"/>
          <w:szCs w:val="24"/>
        </w:rPr>
        <w:t xml:space="preserve"> 2011.</w:t>
      </w:r>
    </w:p>
    <w:p w14:paraId="588557AD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Gobierno de la Provincia de Buenos Aires – UNICEF; </w:t>
      </w:r>
      <w:r w:rsidRPr="00FF4E92">
        <w:rPr>
          <w:b/>
          <w:i/>
          <w:sz w:val="24"/>
          <w:szCs w:val="24"/>
        </w:rPr>
        <w:t>Violencias y escuelas. Otras miradas sobre las infancias y las juventudes</w:t>
      </w:r>
      <w:r w:rsidRPr="00FF4E92">
        <w:rPr>
          <w:sz w:val="24"/>
          <w:szCs w:val="24"/>
        </w:rPr>
        <w:t>; UNICEF; Buenos Aires; 2014</w:t>
      </w:r>
    </w:p>
    <w:p w14:paraId="0E8167D6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Kessler, Gabriel; </w:t>
      </w:r>
      <w:r w:rsidRPr="00FF4E92">
        <w:rPr>
          <w:rFonts w:cs="Calibri"/>
          <w:b/>
          <w:bCs/>
          <w:i/>
          <w:iCs/>
          <w:sz w:val="24"/>
          <w:szCs w:val="24"/>
        </w:rPr>
        <w:t>El sentimiento de inseguridad</w:t>
      </w:r>
      <w:r w:rsidRPr="00FF4E92">
        <w:rPr>
          <w:rFonts w:cs="Calibri"/>
          <w:sz w:val="24"/>
          <w:szCs w:val="24"/>
        </w:rPr>
        <w:t>; Capítulo 2; Siglo XXI; Buenos Aires 2009.</w:t>
      </w:r>
    </w:p>
    <w:p w14:paraId="15792402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Kessler, Gabriel; </w:t>
      </w:r>
      <w:r w:rsidRPr="00FF4E92">
        <w:rPr>
          <w:rFonts w:cs="Calibri"/>
          <w:b/>
          <w:i/>
          <w:sz w:val="24"/>
          <w:szCs w:val="24"/>
        </w:rPr>
        <w:t>Dilemas y desafíos de la experiencia educativa de jóvenes en conflicto con la Ley</w:t>
      </w:r>
      <w:r w:rsidRPr="00FF4E92">
        <w:rPr>
          <w:rFonts w:cs="Calibri"/>
          <w:sz w:val="24"/>
          <w:szCs w:val="24"/>
        </w:rPr>
        <w:t>; En Miradas interdisciplinarias sobre la violencia en las escuelas; Ministerio de Educación, Ciencia y Tecnología de la Nación; Buenos Aires; 2006.</w:t>
      </w:r>
    </w:p>
    <w:p w14:paraId="63671B18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Chavez</w:t>
      </w:r>
      <w:proofErr w:type="spellEnd"/>
      <w:r w:rsidRPr="00FF4E92">
        <w:rPr>
          <w:sz w:val="24"/>
          <w:szCs w:val="24"/>
        </w:rPr>
        <w:t xml:space="preserve">, Mariana; </w:t>
      </w:r>
      <w:r w:rsidRPr="00FF4E92">
        <w:rPr>
          <w:b/>
          <w:i/>
          <w:sz w:val="24"/>
          <w:szCs w:val="24"/>
        </w:rPr>
        <w:t>Juventud negada y negativizada</w:t>
      </w:r>
      <w:r w:rsidRPr="00FF4E92">
        <w:rPr>
          <w:sz w:val="24"/>
          <w:szCs w:val="24"/>
        </w:rPr>
        <w:t xml:space="preserve">; Revista última década; </w:t>
      </w:r>
      <w:proofErr w:type="spellStart"/>
      <w:r w:rsidRPr="00FF4E92">
        <w:rPr>
          <w:sz w:val="24"/>
          <w:szCs w:val="24"/>
        </w:rPr>
        <w:t>Valparaiso</w:t>
      </w:r>
      <w:proofErr w:type="spellEnd"/>
      <w:r w:rsidRPr="00FF4E92">
        <w:rPr>
          <w:sz w:val="24"/>
          <w:szCs w:val="24"/>
        </w:rPr>
        <w:t>; 2005.</w:t>
      </w:r>
    </w:p>
    <w:p w14:paraId="058754AB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Demicheli, Melina; </w:t>
      </w:r>
      <w:r w:rsidRPr="00FF4E92">
        <w:rPr>
          <w:rFonts w:cs="Calibri"/>
          <w:b/>
          <w:i/>
          <w:sz w:val="24"/>
          <w:szCs w:val="24"/>
        </w:rPr>
        <w:t>Los ineducables de siempre</w:t>
      </w:r>
      <w:r w:rsidRPr="00FF4E92">
        <w:rPr>
          <w:rFonts w:cs="Calibri"/>
          <w:sz w:val="24"/>
          <w:szCs w:val="24"/>
        </w:rPr>
        <w:t xml:space="preserve">; en Contrahegemonía web; </w:t>
      </w:r>
      <w:proofErr w:type="gramStart"/>
      <w:r w:rsidRPr="00FF4E92">
        <w:rPr>
          <w:rFonts w:cs="Calibri"/>
          <w:sz w:val="24"/>
          <w:szCs w:val="24"/>
        </w:rPr>
        <w:t>Febrero</w:t>
      </w:r>
      <w:proofErr w:type="gramEnd"/>
      <w:r w:rsidRPr="00FF4E92">
        <w:rPr>
          <w:rFonts w:cs="Calibri"/>
          <w:sz w:val="24"/>
          <w:szCs w:val="24"/>
        </w:rPr>
        <w:t xml:space="preserve"> 2015.</w:t>
      </w:r>
    </w:p>
    <w:p w14:paraId="33C7DBA5" w14:textId="77777777" w:rsidR="001B75CC" w:rsidRPr="00FF4E92" w:rsidRDefault="001B75CC" w:rsidP="001B75CC">
      <w:pPr>
        <w:tabs>
          <w:tab w:val="left" w:pos="3402"/>
        </w:tabs>
        <w:spacing w:after="0" w:line="360" w:lineRule="auto"/>
        <w:jc w:val="both"/>
        <w:rPr>
          <w:rFonts w:cs="Calibri"/>
          <w:sz w:val="24"/>
          <w:szCs w:val="24"/>
          <w:lang w:val="es-ES_tradnl"/>
        </w:rPr>
      </w:pPr>
      <w:proofErr w:type="spellStart"/>
      <w:r w:rsidRPr="00FF4E92">
        <w:rPr>
          <w:rFonts w:cs="Calibri"/>
          <w:sz w:val="24"/>
          <w:szCs w:val="24"/>
        </w:rPr>
        <w:t>Pegoraro</w:t>
      </w:r>
      <w:proofErr w:type="spellEnd"/>
      <w:r w:rsidRPr="00FF4E92">
        <w:rPr>
          <w:rFonts w:cs="Calibri"/>
          <w:sz w:val="24"/>
          <w:szCs w:val="24"/>
        </w:rPr>
        <w:t xml:space="preserve">, Juan; </w:t>
      </w:r>
      <w:r w:rsidRPr="00FF4E92">
        <w:rPr>
          <w:rFonts w:cs="Calibri"/>
          <w:b/>
          <w:i/>
          <w:sz w:val="24"/>
          <w:szCs w:val="24"/>
        </w:rPr>
        <w:t>Notas sobre el poder de castigar</w:t>
      </w:r>
      <w:r w:rsidRPr="00FF4E92">
        <w:rPr>
          <w:rFonts w:cs="Calibri"/>
          <w:sz w:val="24"/>
          <w:szCs w:val="24"/>
          <w:lang w:val="es-ES_tradnl"/>
        </w:rPr>
        <w:t xml:space="preserve">; Foro Latinoamericano para la Seguridad Urbana y la Democracia, </w:t>
      </w:r>
      <w:proofErr w:type="spellStart"/>
      <w:r w:rsidRPr="00FF4E92">
        <w:rPr>
          <w:rFonts w:cs="Calibri"/>
          <w:sz w:val="24"/>
          <w:szCs w:val="24"/>
          <w:lang w:val="es-ES_tradnl"/>
        </w:rPr>
        <w:t>a.c.</w:t>
      </w:r>
      <w:proofErr w:type="spellEnd"/>
      <w:r w:rsidRPr="00FF4E92">
        <w:rPr>
          <w:rFonts w:cs="Calibri"/>
          <w:sz w:val="24"/>
          <w:szCs w:val="24"/>
          <w:lang w:val="es-ES_tradnl"/>
        </w:rPr>
        <w:t>, (</w:t>
      </w:r>
      <w:proofErr w:type="spellStart"/>
      <w:r w:rsidRPr="00FF4E92">
        <w:rPr>
          <w:rFonts w:cs="Calibri"/>
          <w:sz w:val="24"/>
          <w:szCs w:val="24"/>
          <w:lang w:val="es-ES_tradnl"/>
        </w:rPr>
        <w:t>Flasud</w:t>
      </w:r>
      <w:proofErr w:type="spellEnd"/>
      <w:r w:rsidRPr="00FF4E92">
        <w:rPr>
          <w:rFonts w:cs="Calibri"/>
          <w:sz w:val="24"/>
          <w:szCs w:val="24"/>
          <w:lang w:val="es-ES_tradnl"/>
        </w:rPr>
        <w:t>)-México FLACSO-</w:t>
      </w:r>
      <w:proofErr w:type="spellStart"/>
      <w:r w:rsidRPr="00FF4E92">
        <w:rPr>
          <w:rFonts w:cs="Calibri"/>
          <w:sz w:val="24"/>
          <w:szCs w:val="24"/>
          <w:lang w:val="es-ES_tradnl"/>
        </w:rPr>
        <w:t>Mexico</w:t>
      </w:r>
      <w:proofErr w:type="spellEnd"/>
      <w:r w:rsidRPr="00FF4E92">
        <w:rPr>
          <w:rFonts w:cs="Calibri"/>
          <w:sz w:val="24"/>
          <w:szCs w:val="24"/>
          <w:lang w:val="es-ES_tradnl"/>
        </w:rPr>
        <w:t xml:space="preserve">- </w:t>
      </w:r>
      <w:proofErr w:type="spellStart"/>
      <w:r w:rsidRPr="00FF4E92">
        <w:rPr>
          <w:rFonts w:cs="Calibri"/>
          <w:sz w:val="24"/>
          <w:szCs w:val="24"/>
          <w:lang w:val="es-ES_tradnl"/>
        </w:rPr>
        <w:t>Area</w:t>
      </w:r>
      <w:proofErr w:type="spellEnd"/>
      <w:r w:rsidRPr="00FF4E92">
        <w:rPr>
          <w:rFonts w:cs="Calibri"/>
          <w:sz w:val="24"/>
          <w:szCs w:val="24"/>
          <w:lang w:val="es-ES_tradnl"/>
        </w:rPr>
        <w:t xml:space="preserve"> Cultura de la Legalidad. Instituto de Investigaciones Gino Germani-UBA.</w:t>
      </w:r>
    </w:p>
    <w:p w14:paraId="15421346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Pegoraro</w:t>
      </w:r>
      <w:proofErr w:type="spellEnd"/>
      <w:r w:rsidRPr="00FF4E92">
        <w:rPr>
          <w:sz w:val="24"/>
          <w:szCs w:val="24"/>
        </w:rPr>
        <w:t xml:space="preserve">, Juan; </w:t>
      </w:r>
      <w:r w:rsidRPr="00FF4E92">
        <w:rPr>
          <w:b/>
          <w:bCs/>
          <w:i/>
          <w:iCs/>
          <w:sz w:val="24"/>
          <w:szCs w:val="24"/>
        </w:rPr>
        <w:t>Una reflexión sobre la inseguridad</w:t>
      </w:r>
      <w:r w:rsidRPr="00FF4E92">
        <w:rPr>
          <w:sz w:val="24"/>
          <w:szCs w:val="24"/>
        </w:rPr>
        <w:t>; en Argumentos. Revista de crítica social; Número 2 (</w:t>
      </w:r>
      <w:proofErr w:type="gramStart"/>
      <w:r w:rsidRPr="00FF4E92">
        <w:rPr>
          <w:sz w:val="24"/>
          <w:szCs w:val="24"/>
        </w:rPr>
        <w:t>Mayo</w:t>
      </w:r>
      <w:proofErr w:type="gramEnd"/>
      <w:r w:rsidRPr="00FF4E92">
        <w:rPr>
          <w:sz w:val="24"/>
          <w:szCs w:val="24"/>
        </w:rPr>
        <w:t xml:space="preserve"> 2003); Instituto de Investigaciones Gino Germani; Facultad de Ciencias Sociales; UBA; 2003.</w:t>
      </w:r>
    </w:p>
    <w:p w14:paraId="22EA1F1A" w14:textId="77777777" w:rsidR="001B75CC" w:rsidRDefault="001B75CC" w:rsidP="001B75CC">
      <w:pPr>
        <w:spacing w:after="0" w:line="360" w:lineRule="auto"/>
        <w:jc w:val="both"/>
        <w:rPr>
          <w:b/>
          <w:sz w:val="24"/>
          <w:szCs w:val="24"/>
        </w:rPr>
      </w:pPr>
    </w:p>
    <w:p w14:paraId="0AB7E48B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  <w:lang w:val="es-ES_tradnl"/>
        </w:rPr>
      </w:pPr>
      <w:r w:rsidRPr="00FF4E92">
        <w:rPr>
          <w:b/>
          <w:sz w:val="24"/>
          <w:szCs w:val="24"/>
        </w:rPr>
        <w:t>Bloque V. Principales Aspectos de la Problemática Política.</w:t>
      </w:r>
      <w:r w:rsidRPr="00FF4E92">
        <w:rPr>
          <w:rFonts w:cs="Calibri"/>
          <w:b/>
          <w:sz w:val="24"/>
          <w:szCs w:val="24"/>
        </w:rPr>
        <w:t xml:space="preserve"> </w:t>
      </w:r>
      <w:r w:rsidRPr="00FF4E92">
        <w:rPr>
          <w:rFonts w:cs="Calibri"/>
          <w:sz w:val="24"/>
          <w:szCs w:val="24"/>
        </w:rPr>
        <w:t xml:space="preserve">Percepciones sociales acerca de la política. La especificidad del fenómeno político: intervenir en la realidad social para el cambio. El conflicto como elemento constitutivo de la práctica política. La perspectiva </w:t>
      </w:r>
      <w:proofErr w:type="spellStart"/>
      <w:r w:rsidRPr="00FF4E92">
        <w:rPr>
          <w:rFonts w:cs="Calibri"/>
          <w:sz w:val="24"/>
          <w:szCs w:val="24"/>
        </w:rPr>
        <w:t>antipolítica</w:t>
      </w:r>
      <w:proofErr w:type="spellEnd"/>
      <w:r w:rsidRPr="00FF4E92">
        <w:rPr>
          <w:rFonts w:cs="Calibri"/>
          <w:sz w:val="24"/>
          <w:szCs w:val="24"/>
        </w:rPr>
        <w:t>. Instrumentos y relaciones de poder. Autoridad, legitimidad y dominación. Poder real y poder formal.</w:t>
      </w:r>
      <w:r w:rsidRPr="00FF4E92">
        <w:rPr>
          <w:rFonts w:cs="Calibri"/>
          <w:sz w:val="24"/>
          <w:szCs w:val="24"/>
          <w:lang w:val="es-ES_tradnl"/>
        </w:rPr>
        <w:t xml:space="preserve"> </w:t>
      </w:r>
      <w:r w:rsidRPr="00FF4E92">
        <w:rPr>
          <w:rFonts w:cs="Calibri"/>
          <w:sz w:val="24"/>
          <w:szCs w:val="24"/>
        </w:rPr>
        <w:t xml:space="preserve">El poder como práctica normalizadora: Foucault. </w:t>
      </w:r>
      <w:r w:rsidRPr="00FF4E92">
        <w:rPr>
          <w:rFonts w:cs="Calibri"/>
          <w:sz w:val="24"/>
          <w:szCs w:val="24"/>
          <w:lang w:val="es-ES_tradnl"/>
        </w:rPr>
        <w:t xml:space="preserve">El poder como consenso: Gramsci y el concepto de hegemonía. </w:t>
      </w:r>
    </w:p>
    <w:p w14:paraId="4BC74F89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38430699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  <w:lang w:val="es-ES"/>
        </w:rPr>
      </w:pPr>
      <w:proofErr w:type="spellStart"/>
      <w:r w:rsidRPr="00FF4E92">
        <w:rPr>
          <w:sz w:val="24"/>
          <w:szCs w:val="24"/>
        </w:rPr>
        <w:t>Campione</w:t>
      </w:r>
      <w:proofErr w:type="spellEnd"/>
      <w:r w:rsidRPr="00FF4E92">
        <w:rPr>
          <w:sz w:val="24"/>
          <w:szCs w:val="24"/>
        </w:rPr>
        <w:t xml:space="preserve">, Daniel; </w:t>
      </w:r>
      <w:r w:rsidRPr="00FF4E92">
        <w:rPr>
          <w:b/>
          <w:i/>
          <w:sz w:val="24"/>
          <w:szCs w:val="24"/>
        </w:rPr>
        <w:t>Leer Gramsci. Vida y pensamiento</w:t>
      </w:r>
      <w:r w:rsidRPr="00FF4E92">
        <w:rPr>
          <w:sz w:val="24"/>
          <w:szCs w:val="24"/>
        </w:rPr>
        <w:t xml:space="preserve"> (Fragmentos); Ediciones Continente; Buenos Aires; 2014.</w:t>
      </w:r>
    </w:p>
    <w:p w14:paraId="7E60EE86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  <w:lang w:val="es-ES_tradnl" w:eastAsia="es-ES" w:bidi="es-ES"/>
        </w:rPr>
      </w:pPr>
      <w:r w:rsidRPr="00FF4E92">
        <w:rPr>
          <w:sz w:val="24"/>
          <w:szCs w:val="24"/>
          <w:lang w:val="es-ES_tradnl"/>
        </w:rPr>
        <w:t xml:space="preserve">De Luca, Paula, y otros; </w:t>
      </w:r>
      <w:r w:rsidRPr="00FF4E92">
        <w:rPr>
          <w:b/>
          <w:bCs/>
          <w:i/>
          <w:iCs/>
          <w:sz w:val="24"/>
          <w:szCs w:val="24"/>
          <w:lang w:val="es-ES_tradnl"/>
        </w:rPr>
        <w:t>Política y Ciudadanía</w:t>
      </w:r>
      <w:r w:rsidRPr="00FF4E92">
        <w:rPr>
          <w:sz w:val="24"/>
          <w:szCs w:val="24"/>
          <w:lang w:val="es-ES_tradnl"/>
        </w:rPr>
        <w:t>; Capítulo 1; Santillana; Buenos Aires; 2020</w:t>
      </w:r>
    </w:p>
    <w:p w14:paraId="67AB8DCD" w14:textId="77777777" w:rsidR="001B75CC" w:rsidRPr="00FF4E92" w:rsidRDefault="001B75CC" w:rsidP="001B75CC">
      <w:pPr>
        <w:adjustRightInd w:val="0"/>
        <w:spacing w:after="0" w:line="360" w:lineRule="auto"/>
        <w:jc w:val="both"/>
        <w:rPr>
          <w:sz w:val="24"/>
          <w:szCs w:val="24"/>
          <w:lang w:val="es-ES_tradnl" w:eastAsia="es-ES_tradnl"/>
        </w:rPr>
      </w:pPr>
      <w:r w:rsidRPr="00FF4E92">
        <w:rPr>
          <w:sz w:val="24"/>
          <w:szCs w:val="24"/>
          <w:lang w:val="es-ES_tradnl" w:eastAsia="es-ES_tradnl"/>
        </w:rPr>
        <w:t xml:space="preserve">Feinmann, José Pablo; </w:t>
      </w:r>
      <w:r w:rsidRPr="00FF4E92">
        <w:rPr>
          <w:b/>
          <w:i/>
          <w:sz w:val="24"/>
          <w:szCs w:val="24"/>
          <w:lang w:val="es-ES_tradnl" w:eastAsia="es-ES_tradnl"/>
        </w:rPr>
        <w:t>Las manos sucias</w:t>
      </w:r>
      <w:r w:rsidRPr="00FF4E92">
        <w:rPr>
          <w:sz w:val="24"/>
          <w:szCs w:val="24"/>
          <w:lang w:val="es-ES_tradnl" w:eastAsia="es-ES_tradnl"/>
        </w:rPr>
        <w:t>; Página 12; 07-11-2005.</w:t>
      </w:r>
    </w:p>
    <w:p w14:paraId="3B6BECE1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  <w:lang w:val="es-ES" w:eastAsia="es-ES"/>
        </w:rPr>
      </w:pPr>
      <w:proofErr w:type="spellStart"/>
      <w:r w:rsidRPr="00FF4E92">
        <w:rPr>
          <w:sz w:val="24"/>
          <w:szCs w:val="24"/>
        </w:rPr>
        <w:t>Follari</w:t>
      </w:r>
      <w:proofErr w:type="spellEnd"/>
      <w:r w:rsidRPr="00FF4E92">
        <w:rPr>
          <w:sz w:val="24"/>
          <w:szCs w:val="24"/>
        </w:rPr>
        <w:t xml:space="preserve">, Ernesto; </w:t>
      </w:r>
      <w:r w:rsidRPr="00FF4E92">
        <w:rPr>
          <w:b/>
          <w:i/>
          <w:sz w:val="24"/>
          <w:szCs w:val="24"/>
        </w:rPr>
        <w:t>Política y poder</w:t>
      </w:r>
      <w:r w:rsidRPr="00FF4E92">
        <w:rPr>
          <w:sz w:val="24"/>
          <w:szCs w:val="24"/>
        </w:rPr>
        <w:t>; Página 12; 02-02-2010.</w:t>
      </w:r>
    </w:p>
    <w:p w14:paraId="366B53CC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Instituto Nacional de Formación Política; </w:t>
      </w:r>
      <w:r w:rsidRPr="00FF4E92">
        <w:rPr>
          <w:b/>
          <w:bCs/>
          <w:i/>
          <w:iCs/>
          <w:sz w:val="24"/>
          <w:szCs w:val="24"/>
        </w:rPr>
        <w:t>Manual de Formación Política</w:t>
      </w:r>
      <w:r w:rsidRPr="00FF4E92">
        <w:rPr>
          <w:sz w:val="24"/>
          <w:szCs w:val="24"/>
        </w:rPr>
        <w:t>; Capítulo 1; Ministerio del Interior, Presidencia de la Nación; Buenos Aires; 2012.</w:t>
      </w:r>
    </w:p>
    <w:p w14:paraId="4E7A8DB4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Sabon-Roman"/>
          <w:b/>
          <w:sz w:val="24"/>
          <w:szCs w:val="24"/>
        </w:rPr>
      </w:pPr>
      <w:r w:rsidRPr="00FF4E92">
        <w:rPr>
          <w:rFonts w:cs="Sabon-Roman"/>
          <w:b/>
          <w:sz w:val="24"/>
          <w:szCs w:val="24"/>
        </w:rPr>
        <w:t>Bibliografía Ampliatoria del docente</w:t>
      </w:r>
    </w:p>
    <w:p w14:paraId="4E9B0F00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Foucault, Michel; </w:t>
      </w:r>
      <w:r w:rsidRPr="00FF4E92">
        <w:rPr>
          <w:b/>
          <w:i/>
          <w:sz w:val="24"/>
          <w:szCs w:val="24"/>
        </w:rPr>
        <w:t>Las redes del poder</w:t>
      </w:r>
      <w:r w:rsidRPr="00FF4E92">
        <w:rPr>
          <w:sz w:val="24"/>
          <w:szCs w:val="24"/>
        </w:rPr>
        <w:t xml:space="preserve">; Conferencia proferida en 1976 en la Facultad de Filosofía de la Universidad del Brasil. Publicado en la revista anarquista “Barbarie”, </w:t>
      </w:r>
      <w:proofErr w:type="spellStart"/>
      <w:r w:rsidRPr="00FF4E92">
        <w:rPr>
          <w:sz w:val="24"/>
          <w:szCs w:val="24"/>
        </w:rPr>
        <w:t>Nº</w:t>
      </w:r>
      <w:proofErr w:type="spellEnd"/>
      <w:r w:rsidRPr="00FF4E92">
        <w:rPr>
          <w:sz w:val="24"/>
          <w:szCs w:val="24"/>
        </w:rPr>
        <w:t xml:space="preserve"> 4 y 5 en 1981-82, San Salvador de Bahía, Brasil.</w:t>
      </w:r>
    </w:p>
    <w:p w14:paraId="2D9B6052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  <w:lang w:eastAsia="es-AR" w:bidi="es-ES"/>
        </w:rPr>
      </w:pPr>
      <w:r w:rsidRPr="00FF4E92">
        <w:rPr>
          <w:snapToGrid w:val="0"/>
          <w:sz w:val="24"/>
          <w:szCs w:val="24"/>
        </w:rPr>
        <w:t xml:space="preserve">Roux, </w:t>
      </w:r>
      <w:proofErr w:type="spellStart"/>
      <w:r w:rsidRPr="00FF4E92">
        <w:rPr>
          <w:snapToGrid w:val="0"/>
          <w:sz w:val="24"/>
          <w:szCs w:val="24"/>
        </w:rPr>
        <w:t>Rhina</w:t>
      </w:r>
      <w:proofErr w:type="spellEnd"/>
      <w:r w:rsidRPr="00FF4E92">
        <w:rPr>
          <w:snapToGrid w:val="0"/>
          <w:sz w:val="24"/>
          <w:szCs w:val="24"/>
        </w:rPr>
        <w:t xml:space="preserve">; </w:t>
      </w:r>
      <w:r w:rsidRPr="00FF4E92">
        <w:rPr>
          <w:b/>
          <w:i/>
          <w:snapToGrid w:val="0"/>
          <w:sz w:val="24"/>
          <w:szCs w:val="24"/>
        </w:rPr>
        <w:t>Dominación, insubordinación y política</w:t>
      </w:r>
      <w:r w:rsidRPr="00FF4E92">
        <w:rPr>
          <w:i/>
          <w:snapToGrid w:val="0"/>
          <w:sz w:val="24"/>
          <w:szCs w:val="24"/>
        </w:rPr>
        <w:t>;</w:t>
      </w:r>
      <w:r w:rsidRPr="00FF4E92">
        <w:rPr>
          <w:snapToGrid w:val="0"/>
          <w:sz w:val="24"/>
          <w:szCs w:val="24"/>
        </w:rPr>
        <w:t xml:space="preserve"> </w:t>
      </w:r>
      <w:r w:rsidRPr="00FF4E92">
        <w:rPr>
          <w:sz w:val="24"/>
          <w:szCs w:val="24"/>
          <w:lang w:eastAsia="es-AR"/>
        </w:rPr>
        <w:t xml:space="preserve">Ponencia presentada en la presentación del libro de John Holloway, </w:t>
      </w:r>
      <w:r w:rsidRPr="00FF4E92">
        <w:rPr>
          <w:i/>
          <w:iCs/>
          <w:sz w:val="24"/>
          <w:szCs w:val="24"/>
          <w:lang w:eastAsia="es-AR"/>
        </w:rPr>
        <w:t>Cambiar el mundo sin tomar el poder. El significado de la revolución hoy</w:t>
      </w:r>
      <w:r w:rsidRPr="00FF4E92">
        <w:rPr>
          <w:sz w:val="24"/>
          <w:szCs w:val="24"/>
          <w:lang w:eastAsia="es-AR"/>
        </w:rPr>
        <w:t>. Facultad de Filosofía y Letras, UNAM, México, 18 de noviembre de 2002.</w:t>
      </w:r>
    </w:p>
    <w:p w14:paraId="3CCB0427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36B2841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  <w:lang w:val="es-ES_tradnl"/>
        </w:rPr>
      </w:pPr>
      <w:r w:rsidRPr="00FF4E92">
        <w:rPr>
          <w:rFonts w:cs="Calibri"/>
          <w:b/>
          <w:sz w:val="24"/>
          <w:szCs w:val="24"/>
          <w:lang w:val="es-ES_tradnl"/>
        </w:rPr>
        <w:t xml:space="preserve">Bloque VI. La educación como práctica política. </w:t>
      </w:r>
      <w:r w:rsidRPr="00FF4E92">
        <w:rPr>
          <w:rFonts w:cs="Arial"/>
          <w:sz w:val="24"/>
          <w:szCs w:val="24"/>
        </w:rPr>
        <w:t xml:space="preserve">El sentido político de la educación: transformación o consolidación del orden social. </w:t>
      </w:r>
      <w:r w:rsidRPr="00FF4E92">
        <w:rPr>
          <w:rFonts w:cs="Calibri"/>
          <w:sz w:val="24"/>
          <w:szCs w:val="24"/>
          <w:lang w:val="es-ES_tradnl"/>
        </w:rPr>
        <w:t xml:space="preserve">El Estado como el enunciador central de la política educativa. Correlación entre proyectos de país y proyectos educativos: breve reseña. Política educativa, contenidos escolares, prácticas pedagógicas y construcción de subjetividades. El docente como agente del Estado. </w:t>
      </w:r>
      <w:r w:rsidRPr="00FF4E92">
        <w:rPr>
          <w:rFonts w:cs="Calibri"/>
          <w:sz w:val="24"/>
          <w:szCs w:val="24"/>
        </w:rPr>
        <w:t>Democratizar la educación</w:t>
      </w:r>
      <w:r w:rsidRPr="00FF4E92">
        <w:rPr>
          <w:rFonts w:cs="Calibri"/>
          <w:sz w:val="24"/>
          <w:szCs w:val="24"/>
          <w:lang w:val="es-ES_tradnl"/>
        </w:rPr>
        <w:t xml:space="preserve">: inclusión y calidad como lineamientos políticos de la secundaria obligatoria. </w:t>
      </w:r>
      <w:r w:rsidRPr="00FF4E92">
        <w:rPr>
          <w:rFonts w:cs="Calibri"/>
          <w:sz w:val="24"/>
          <w:szCs w:val="24"/>
        </w:rPr>
        <w:t xml:space="preserve">Educación pública, Estado y mercado: ¿quién decide las prioridades y objetivos del sistema educativo? </w:t>
      </w:r>
      <w:r w:rsidRPr="00FF4E92">
        <w:rPr>
          <w:rFonts w:cs="Calibri"/>
          <w:sz w:val="24"/>
          <w:szCs w:val="24"/>
          <w:lang w:val="es-ES_tradnl"/>
        </w:rPr>
        <w:t xml:space="preserve">Breve debate en torno al posicionamiento político de los y las docentes. </w:t>
      </w:r>
    </w:p>
    <w:p w14:paraId="50F42885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4"/>
          <w:szCs w:val="24"/>
          <w:lang w:val="es-ES_tradnl"/>
        </w:rPr>
      </w:pPr>
      <w:r w:rsidRPr="00FF4E92">
        <w:rPr>
          <w:rFonts w:cs="Calibri"/>
          <w:b/>
          <w:bCs/>
          <w:sz w:val="24"/>
          <w:szCs w:val="24"/>
          <w:lang w:val="es-ES_tradnl"/>
        </w:rPr>
        <w:t>Bibliografía del estudiante</w:t>
      </w:r>
    </w:p>
    <w:p w14:paraId="41C3472A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Feldfeber</w:t>
      </w:r>
      <w:proofErr w:type="spellEnd"/>
      <w:r w:rsidRPr="00FF4E92">
        <w:rPr>
          <w:sz w:val="24"/>
          <w:szCs w:val="24"/>
        </w:rPr>
        <w:t xml:space="preserve">, </w:t>
      </w:r>
      <w:proofErr w:type="spellStart"/>
      <w:r w:rsidRPr="00FF4E92">
        <w:rPr>
          <w:sz w:val="24"/>
          <w:szCs w:val="24"/>
        </w:rPr>
        <w:t>Miryam</w:t>
      </w:r>
      <w:proofErr w:type="spellEnd"/>
      <w:r w:rsidRPr="00FF4E92">
        <w:rPr>
          <w:sz w:val="24"/>
          <w:szCs w:val="24"/>
        </w:rPr>
        <w:t xml:space="preserve">, y </w:t>
      </w:r>
      <w:proofErr w:type="spellStart"/>
      <w:r w:rsidRPr="00FF4E92">
        <w:rPr>
          <w:sz w:val="24"/>
          <w:szCs w:val="24"/>
        </w:rPr>
        <w:t>Gluz</w:t>
      </w:r>
      <w:proofErr w:type="spellEnd"/>
      <w:r w:rsidRPr="00FF4E92">
        <w:rPr>
          <w:sz w:val="24"/>
          <w:szCs w:val="24"/>
        </w:rPr>
        <w:t xml:space="preserve">, Nora; </w:t>
      </w:r>
      <w:r w:rsidRPr="00FF4E92">
        <w:rPr>
          <w:b/>
          <w:bCs/>
          <w:i/>
          <w:iCs/>
          <w:sz w:val="24"/>
          <w:szCs w:val="24"/>
        </w:rPr>
        <w:t>Las políticas educativas a partir del cambio de siglo</w:t>
      </w:r>
      <w:r w:rsidRPr="00FF4E92">
        <w:rPr>
          <w:sz w:val="24"/>
          <w:szCs w:val="24"/>
        </w:rPr>
        <w:t>; en Revista Estado y Políticas Públicas; Número 13 (</w:t>
      </w:r>
      <w:proofErr w:type="gramStart"/>
      <w:r w:rsidRPr="00FF4E92">
        <w:rPr>
          <w:sz w:val="24"/>
          <w:szCs w:val="24"/>
        </w:rPr>
        <w:t>Octubre</w:t>
      </w:r>
      <w:proofErr w:type="gramEnd"/>
      <w:r w:rsidRPr="00FF4E92">
        <w:rPr>
          <w:sz w:val="24"/>
          <w:szCs w:val="24"/>
        </w:rPr>
        <w:t xml:space="preserve"> de 2019).</w:t>
      </w:r>
    </w:p>
    <w:p w14:paraId="7B8DEFB8" w14:textId="77777777" w:rsidR="001B75CC" w:rsidRPr="00FF4E92" w:rsidRDefault="001B75CC" w:rsidP="001B75CC">
      <w:pPr>
        <w:adjustRightInd w:val="0"/>
        <w:spacing w:after="0" w:line="360" w:lineRule="auto"/>
        <w:jc w:val="both"/>
        <w:rPr>
          <w:sz w:val="24"/>
          <w:szCs w:val="24"/>
          <w:lang w:val="es-ES_tradnl" w:eastAsia="es-ES_tradnl"/>
        </w:rPr>
      </w:pPr>
      <w:r w:rsidRPr="00FF4E92">
        <w:rPr>
          <w:sz w:val="24"/>
          <w:szCs w:val="24"/>
          <w:lang w:val="es-ES_tradnl" w:eastAsia="es-ES_tradnl"/>
        </w:rPr>
        <w:t xml:space="preserve">Filmus, Daniel; </w:t>
      </w:r>
      <w:r w:rsidRPr="00FF4E92">
        <w:rPr>
          <w:b/>
          <w:i/>
          <w:sz w:val="24"/>
          <w:szCs w:val="24"/>
          <w:lang w:val="es-ES_tradnl" w:eastAsia="es-ES_tradnl"/>
        </w:rPr>
        <w:t>Estado, sociedad y educación en Argentina: una aproximación histórica</w:t>
      </w:r>
      <w:r w:rsidRPr="00FF4E92">
        <w:rPr>
          <w:sz w:val="24"/>
          <w:szCs w:val="24"/>
          <w:lang w:val="es-ES_tradnl" w:eastAsia="es-ES_tradnl"/>
        </w:rPr>
        <w:t>; en Estado, sociedad y educación en Argentina de fin de siglo. Procesos y desafíos; troquel; buenos aires; 1996.</w:t>
      </w:r>
    </w:p>
    <w:p w14:paraId="0F326167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Gentilli</w:t>
      </w:r>
      <w:proofErr w:type="spellEnd"/>
      <w:r w:rsidRPr="00FF4E92">
        <w:rPr>
          <w:sz w:val="24"/>
          <w:szCs w:val="24"/>
        </w:rPr>
        <w:t xml:space="preserve">, Pablo; </w:t>
      </w:r>
      <w:r w:rsidRPr="00FF4E92">
        <w:rPr>
          <w:b/>
          <w:i/>
          <w:iCs/>
          <w:sz w:val="24"/>
          <w:szCs w:val="24"/>
        </w:rPr>
        <w:t>La educación como coartada</w:t>
      </w:r>
      <w:r w:rsidRPr="00FF4E92">
        <w:rPr>
          <w:sz w:val="24"/>
          <w:szCs w:val="24"/>
        </w:rPr>
        <w:t>; en América Latina, entre la desigualdad y la esperanza; Siglo XXI; Buenos Aires; 2015.</w:t>
      </w:r>
    </w:p>
    <w:p w14:paraId="1ACF7420" w14:textId="77777777" w:rsidR="001B75CC" w:rsidRPr="00FF4E92" w:rsidRDefault="001B75CC" w:rsidP="001B75CC">
      <w:pPr>
        <w:adjustRightInd w:val="0"/>
        <w:spacing w:after="0" w:line="360" w:lineRule="auto"/>
        <w:jc w:val="both"/>
        <w:rPr>
          <w:sz w:val="24"/>
          <w:szCs w:val="24"/>
          <w:lang w:val="es-ES"/>
        </w:rPr>
      </w:pPr>
      <w:proofErr w:type="spellStart"/>
      <w:r w:rsidRPr="00FF4E92">
        <w:rPr>
          <w:sz w:val="24"/>
          <w:szCs w:val="24"/>
        </w:rPr>
        <w:t>Gentilli</w:t>
      </w:r>
      <w:proofErr w:type="spellEnd"/>
      <w:r w:rsidRPr="00FF4E92">
        <w:rPr>
          <w:sz w:val="24"/>
          <w:szCs w:val="24"/>
        </w:rPr>
        <w:t xml:space="preserve">, Pablo; </w:t>
      </w:r>
      <w:r w:rsidRPr="00FF4E92">
        <w:rPr>
          <w:b/>
          <w:i/>
          <w:sz w:val="24"/>
          <w:szCs w:val="24"/>
        </w:rPr>
        <w:t>Educación S.A. (el mercado ataca de nuevo)</w:t>
      </w:r>
      <w:r w:rsidRPr="00FF4E92">
        <w:rPr>
          <w:sz w:val="24"/>
          <w:szCs w:val="24"/>
        </w:rPr>
        <w:t>; en América Latina, entre la desigualdad y la esperanza; Siglo XXI; Buenos Aires; 2015.</w:t>
      </w:r>
    </w:p>
    <w:p w14:paraId="23A6C2F3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Merlín, Nora; </w:t>
      </w:r>
      <w:r w:rsidRPr="00FF4E92">
        <w:rPr>
          <w:b/>
          <w:i/>
          <w:sz w:val="24"/>
          <w:szCs w:val="24"/>
        </w:rPr>
        <w:t>Neoliberalismo y auge de las neurociencias</w:t>
      </w:r>
      <w:r w:rsidRPr="00FF4E92">
        <w:rPr>
          <w:sz w:val="24"/>
          <w:szCs w:val="24"/>
        </w:rPr>
        <w:t>; Selección de textos publicados en el diario Página 12; 2017.</w:t>
      </w:r>
    </w:p>
    <w:p w14:paraId="4F919727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 xml:space="preserve">, Isabelino; </w:t>
      </w:r>
      <w:r w:rsidRPr="00FF4E92">
        <w:rPr>
          <w:b/>
          <w:i/>
          <w:sz w:val="24"/>
          <w:szCs w:val="24"/>
        </w:rPr>
        <w:t>El sentido político de la tarea docente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Siede</w:t>
      </w:r>
      <w:proofErr w:type="spellEnd"/>
      <w:r w:rsidRPr="00FF4E92">
        <w:rPr>
          <w:sz w:val="24"/>
          <w:szCs w:val="24"/>
        </w:rPr>
        <w:t>, Isabelino; La educación política; Paidós; Buenos Aires; 2007.</w:t>
      </w:r>
    </w:p>
    <w:p w14:paraId="1F6099D2" w14:textId="77777777" w:rsidR="001B75CC" w:rsidRPr="00FF4E92" w:rsidRDefault="001B75CC" w:rsidP="001B75CC">
      <w:pPr>
        <w:tabs>
          <w:tab w:val="left" w:pos="3402"/>
        </w:tabs>
        <w:spacing w:after="0" w:line="360" w:lineRule="auto"/>
        <w:jc w:val="both"/>
        <w:rPr>
          <w:sz w:val="24"/>
          <w:szCs w:val="24"/>
          <w:lang w:val="es-ES_tradnl"/>
        </w:rPr>
      </w:pPr>
      <w:proofErr w:type="spellStart"/>
      <w:r w:rsidRPr="00FF4E92">
        <w:rPr>
          <w:sz w:val="24"/>
          <w:szCs w:val="24"/>
          <w:lang w:val="es-ES_tradnl"/>
        </w:rPr>
        <w:t>Southwell</w:t>
      </w:r>
      <w:proofErr w:type="spellEnd"/>
      <w:r w:rsidRPr="00FF4E92">
        <w:rPr>
          <w:sz w:val="24"/>
          <w:szCs w:val="24"/>
          <w:lang w:val="es-ES_tradnl"/>
        </w:rPr>
        <w:t xml:space="preserve">, </w:t>
      </w:r>
      <w:proofErr w:type="spellStart"/>
      <w:r w:rsidRPr="00FF4E92">
        <w:rPr>
          <w:sz w:val="24"/>
          <w:szCs w:val="24"/>
          <w:lang w:val="es-ES_tradnl"/>
        </w:rPr>
        <w:t>Miryam</w:t>
      </w:r>
      <w:proofErr w:type="spellEnd"/>
      <w:r w:rsidRPr="00FF4E92">
        <w:rPr>
          <w:sz w:val="24"/>
          <w:szCs w:val="24"/>
          <w:lang w:val="es-ES_tradnl"/>
        </w:rPr>
        <w:t xml:space="preserve">; </w:t>
      </w:r>
      <w:r w:rsidRPr="00FF4E92">
        <w:rPr>
          <w:b/>
          <w:i/>
          <w:sz w:val="24"/>
          <w:szCs w:val="24"/>
          <w:lang w:val="es-ES_tradnl"/>
        </w:rPr>
        <w:t>El papel del Estado, esa es la cuestión</w:t>
      </w:r>
      <w:r w:rsidRPr="00FF4E92">
        <w:rPr>
          <w:sz w:val="24"/>
          <w:szCs w:val="24"/>
          <w:lang w:val="es-ES_tradnl"/>
        </w:rPr>
        <w:t xml:space="preserve">; en 30 años de educación en democracia; </w:t>
      </w:r>
      <w:proofErr w:type="spellStart"/>
      <w:r w:rsidRPr="00FF4E92">
        <w:rPr>
          <w:sz w:val="24"/>
          <w:szCs w:val="24"/>
          <w:lang w:val="es-ES_tradnl"/>
        </w:rPr>
        <w:t>Unipe</w:t>
      </w:r>
      <w:proofErr w:type="spellEnd"/>
      <w:r w:rsidRPr="00FF4E92">
        <w:rPr>
          <w:sz w:val="24"/>
          <w:szCs w:val="24"/>
          <w:lang w:val="es-ES_tradnl"/>
        </w:rPr>
        <w:t>; Buenos Aires; 2013.</w:t>
      </w:r>
    </w:p>
    <w:p w14:paraId="57F9E148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Ampliatoria del docente</w:t>
      </w:r>
    </w:p>
    <w:p w14:paraId="284478C0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  <w:lang w:val="es-ES_tradnl"/>
        </w:rPr>
        <w:t xml:space="preserve">Consejo Federal de Educación; </w:t>
      </w:r>
      <w:proofErr w:type="spellStart"/>
      <w:r w:rsidRPr="00FF4E92">
        <w:rPr>
          <w:rFonts w:cs="Calibri"/>
          <w:sz w:val="24"/>
          <w:szCs w:val="24"/>
        </w:rPr>
        <w:t>Resolucion</w:t>
      </w:r>
      <w:proofErr w:type="spellEnd"/>
      <w:r w:rsidRPr="00FF4E92">
        <w:rPr>
          <w:rFonts w:cs="Calibri"/>
          <w:sz w:val="24"/>
          <w:szCs w:val="24"/>
        </w:rPr>
        <w:t xml:space="preserve"> CFE 84/09 – </w:t>
      </w:r>
      <w:r w:rsidRPr="00FF4E92">
        <w:rPr>
          <w:rFonts w:cs="Calibri"/>
          <w:b/>
          <w:i/>
          <w:sz w:val="24"/>
          <w:szCs w:val="24"/>
        </w:rPr>
        <w:t>Lineamientos políticos y estratégicos de la educación secundaria obligatoria</w:t>
      </w:r>
      <w:r w:rsidRPr="00FF4E92">
        <w:rPr>
          <w:rFonts w:cs="Calibri"/>
          <w:sz w:val="24"/>
          <w:szCs w:val="24"/>
        </w:rPr>
        <w:t xml:space="preserve">; </w:t>
      </w:r>
      <w:r w:rsidRPr="00FF4E92">
        <w:rPr>
          <w:rFonts w:cs="Sabon-Roman"/>
          <w:sz w:val="24"/>
          <w:szCs w:val="24"/>
        </w:rPr>
        <w:t>Ministerio de Educación, Ciencia y Tecnología de la Nación; Buenos Aires; 2009</w:t>
      </w:r>
      <w:r w:rsidRPr="00FF4E92">
        <w:rPr>
          <w:rFonts w:cs="Calibri"/>
          <w:sz w:val="24"/>
          <w:szCs w:val="24"/>
        </w:rPr>
        <w:t xml:space="preserve"> </w:t>
      </w:r>
    </w:p>
    <w:p w14:paraId="65D91F4F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Cullen Carlos; </w:t>
      </w:r>
      <w:r w:rsidRPr="00FF4E92">
        <w:rPr>
          <w:rFonts w:cs="Calibri"/>
          <w:b/>
          <w:i/>
          <w:sz w:val="24"/>
          <w:szCs w:val="24"/>
        </w:rPr>
        <w:t>Crítica de las razones de educar</w:t>
      </w:r>
      <w:r w:rsidRPr="00FF4E92">
        <w:rPr>
          <w:rFonts w:cs="Calibri"/>
          <w:sz w:val="24"/>
          <w:szCs w:val="24"/>
        </w:rPr>
        <w:t>; Capítulo 4: Sentido actual de la educación ética y ciudadana</w:t>
      </w:r>
      <w:r w:rsidRPr="00FF4E92">
        <w:rPr>
          <w:rFonts w:cs="Calibri"/>
          <w:b/>
          <w:i/>
          <w:sz w:val="24"/>
          <w:szCs w:val="24"/>
        </w:rPr>
        <w:t xml:space="preserve">, </w:t>
      </w:r>
      <w:r w:rsidRPr="00FF4E92">
        <w:rPr>
          <w:rFonts w:cs="Calibri"/>
          <w:i/>
          <w:sz w:val="24"/>
          <w:szCs w:val="24"/>
        </w:rPr>
        <w:t xml:space="preserve">y Capítulo 5: Educar para la convivencia y la participación </w:t>
      </w:r>
      <w:r w:rsidRPr="00FF4E92">
        <w:rPr>
          <w:rFonts w:cs="Arial"/>
          <w:sz w:val="24"/>
          <w:szCs w:val="24"/>
        </w:rPr>
        <w:t>ciudadana</w:t>
      </w:r>
      <w:r w:rsidRPr="00FF4E92">
        <w:rPr>
          <w:rFonts w:cs="Calibri"/>
          <w:sz w:val="24"/>
          <w:szCs w:val="24"/>
        </w:rPr>
        <w:t>; Paidós; Buenos aires; 2005.</w:t>
      </w:r>
    </w:p>
    <w:p w14:paraId="5593176E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Iaies</w:t>
      </w:r>
      <w:proofErr w:type="spellEnd"/>
      <w:r w:rsidRPr="00FF4E92">
        <w:rPr>
          <w:sz w:val="24"/>
          <w:szCs w:val="24"/>
        </w:rPr>
        <w:t xml:space="preserve">, Gustavo y </w:t>
      </w:r>
      <w:proofErr w:type="spellStart"/>
      <w:r w:rsidRPr="00FF4E92">
        <w:rPr>
          <w:sz w:val="24"/>
          <w:szCs w:val="24"/>
        </w:rPr>
        <w:t>Delich</w:t>
      </w:r>
      <w:proofErr w:type="spellEnd"/>
      <w:r w:rsidRPr="00FF4E92">
        <w:rPr>
          <w:sz w:val="24"/>
          <w:szCs w:val="24"/>
        </w:rPr>
        <w:t xml:space="preserve">, Andrés; </w:t>
      </w:r>
      <w:r w:rsidRPr="00FF4E92">
        <w:rPr>
          <w:b/>
          <w:i/>
          <w:sz w:val="24"/>
          <w:szCs w:val="24"/>
        </w:rPr>
        <w:t>Sistemas educativos y cohesión social: la reconstrucción de “lo común” en los Estados Nacionales del siglo XXI</w:t>
      </w:r>
      <w:r w:rsidRPr="00FF4E92">
        <w:rPr>
          <w:sz w:val="24"/>
          <w:szCs w:val="24"/>
        </w:rPr>
        <w:t xml:space="preserve">; en Simón Schwartzman y Cristian Cox (editores); Políticas educativas y cohesión social en América Latina; </w:t>
      </w:r>
      <w:proofErr w:type="spellStart"/>
      <w:r w:rsidRPr="00FF4E92">
        <w:rPr>
          <w:sz w:val="24"/>
          <w:szCs w:val="24"/>
        </w:rPr>
        <w:t>Uqbar</w:t>
      </w:r>
      <w:proofErr w:type="spellEnd"/>
      <w:r w:rsidRPr="00FF4E92">
        <w:rPr>
          <w:sz w:val="24"/>
          <w:szCs w:val="24"/>
        </w:rPr>
        <w:t xml:space="preserve"> editores; Santiago de Chile; 2009.</w:t>
      </w:r>
    </w:p>
    <w:p w14:paraId="06F6A8DD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FF4E92">
        <w:rPr>
          <w:rFonts w:cs="Calibri"/>
          <w:sz w:val="24"/>
          <w:szCs w:val="24"/>
        </w:rPr>
        <w:t>Imen</w:t>
      </w:r>
      <w:proofErr w:type="spellEnd"/>
      <w:r w:rsidRPr="00FF4E92">
        <w:rPr>
          <w:rFonts w:cs="Calibri"/>
          <w:sz w:val="24"/>
          <w:szCs w:val="24"/>
        </w:rPr>
        <w:t xml:space="preserve">, Pablo; </w:t>
      </w:r>
      <w:r w:rsidRPr="00FF4E92">
        <w:rPr>
          <w:rFonts w:cs="Calibri"/>
          <w:b/>
          <w:i/>
          <w:sz w:val="24"/>
          <w:szCs w:val="24"/>
        </w:rPr>
        <w:t>La escuela pública sitiada. Crítica de la transformación educativa</w:t>
      </w:r>
      <w:r w:rsidRPr="00FF4E92">
        <w:rPr>
          <w:rFonts w:cs="Calibri"/>
          <w:sz w:val="24"/>
          <w:szCs w:val="24"/>
        </w:rPr>
        <w:t xml:space="preserve">; Capítulos 1, </w:t>
      </w:r>
      <w:proofErr w:type="gramStart"/>
      <w:r w:rsidRPr="00FF4E92">
        <w:rPr>
          <w:rFonts w:cs="Calibri"/>
          <w:sz w:val="24"/>
          <w:szCs w:val="24"/>
        </w:rPr>
        <w:t>2  y</w:t>
      </w:r>
      <w:proofErr w:type="gramEnd"/>
      <w:r w:rsidRPr="00FF4E92">
        <w:rPr>
          <w:rFonts w:cs="Calibri"/>
          <w:sz w:val="24"/>
          <w:szCs w:val="24"/>
        </w:rPr>
        <w:t xml:space="preserve"> 4; Centro Cultural de la Cooperación Floreal </w:t>
      </w:r>
      <w:proofErr w:type="spellStart"/>
      <w:r w:rsidRPr="00FF4E92">
        <w:rPr>
          <w:rFonts w:cs="Calibri"/>
          <w:sz w:val="24"/>
          <w:szCs w:val="24"/>
        </w:rPr>
        <w:t>Gorini</w:t>
      </w:r>
      <w:proofErr w:type="spellEnd"/>
      <w:r w:rsidRPr="00FF4E92">
        <w:rPr>
          <w:rFonts w:cs="Calibri"/>
          <w:sz w:val="24"/>
          <w:szCs w:val="24"/>
        </w:rPr>
        <w:t>; Buenos Aires; 2005.</w:t>
      </w:r>
    </w:p>
    <w:p w14:paraId="3FB8C7DA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Ministerio de Educación, Ciencia y Tecnología de la Nación; </w:t>
      </w:r>
      <w:r w:rsidRPr="00FF4E92">
        <w:rPr>
          <w:rFonts w:cs="Calibri"/>
          <w:b/>
          <w:i/>
          <w:sz w:val="24"/>
          <w:szCs w:val="24"/>
        </w:rPr>
        <w:t>La inclusión como posibilidad</w:t>
      </w:r>
      <w:r w:rsidRPr="00FF4E92">
        <w:rPr>
          <w:rFonts w:cs="Calibri"/>
          <w:sz w:val="24"/>
          <w:szCs w:val="24"/>
        </w:rPr>
        <w:t>; Ministerio de Educación, Ciencia y Tecnología de la Nación; Buenos Aires; 2006</w:t>
      </w:r>
    </w:p>
    <w:p w14:paraId="2ED7DE6C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Ministerio de Educación de la Nación; </w:t>
      </w:r>
      <w:r w:rsidRPr="00FF4E92">
        <w:rPr>
          <w:rFonts w:cs="Calibri"/>
          <w:b/>
          <w:i/>
          <w:sz w:val="24"/>
          <w:szCs w:val="24"/>
        </w:rPr>
        <w:t>El Estado, el sistema y la escuela</w:t>
      </w:r>
      <w:r w:rsidRPr="00FF4E92">
        <w:rPr>
          <w:rFonts w:cs="Calibri"/>
          <w:sz w:val="24"/>
          <w:szCs w:val="24"/>
        </w:rPr>
        <w:t>; en Programa Nacional de Formación Permanente Nuestra Escuela. Los desafíos de los niveles del sistema educativo; Buenos Aires: Ministerio de Educación, Ciencia y Tecnología de la Nación: Ministerio de Educación, Ciencia y Tecnología de la Nación; Buenos Aires; 2014.</w:t>
      </w:r>
    </w:p>
    <w:p w14:paraId="2A7CA21D" w14:textId="77777777" w:rsidR="001B75CC" w:rsidRPr="00FF4E92" w:rsidRDefault="001B75CC" w:rsidP="001B75CC">
      <w:pPr>
        <w:pStyle w:val="Ttulo1"/>
        <w:shd w:val="clear" w:color="auto" w:fill="FFFFFF"/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 xml:space="preserve">Ovelar, Nora; </w:t>
      </w:r>
      <w:r w:rsidRPr="00FF4E92">
        <w:rPr>
          <w:rStyle w:val="texto-blanco-12"/>
          <w:rFonts w:ascii="Calibri" w:hAnsi="Calibri" w:cs="Calibri"/>
          <w:i/>
          <w:sz w:val="24"/>
          <w:szCs w:val="24"/>
        </w:rPr>
        <w:t>Educación, política y ciudadanía democrática. A través de la especial mirada de Paulo Freire</w:t>
      </w:r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 xml:space="preserve">; Revista de Pedagogía; Universidad Central de Venezuela; </w:t>
      </w:r>
      <w:proofErr w:type="gramStart"/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 xml:space="preserve">Caracas; </w:t>
      </w:r>
      <w:r w:rsidRPr="00FF4E92">
        <w:rPr>
          <w:rStyle w:val="apple-converted-space"/>
          <w:rFonts w:ascii="Calibri" w:hAnsi="Calibri" w:cs="Calibri"/>
          <w:b w:val="0"/>
          <w:sz w:val="24"/>
          <w:szCs w:val="24"/>
        </w:rPr>
        <w:t> </w:t>
      </w:r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>2005</w:t>
      </w:r>
      <w:proofErr w:type="gramEnd"/>
      <w:r w:rsidRPr="00FF4E92">
        <w:rPr>
          <w:rStyle w:val="texto-blanco-12"/>
          <w:rFonts w:ascii="Calibri" w:hAnsi="Calibri" w:cs="Calibri"/>
          <w:b w:val="0"/>
          <w:sz w:val="24"/>
          <w:szCs w:val="24"/>
        </w:rPr>
        <w:t>.</w:t>
      </w:r>
    </w:p>
    <w:p w14:paraId="0A63F3F3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proofErr w:type="spellStart"/>
      <w:r w:rsidRPr="00FF4E92">
        <w:rPr>
          <w:rFonts w:cs="Calibri"/>
          <w:sz w:val="24"/>
          <w:szCs w:val="24"/>
        </w:rPr>
        <w:t>Rochetti</w:t>
      </w:r>
      <w:proofErr w:type="spellEnd"/>
      <w:r w:rsidRPr="00FF4E92">
        <w:rPr>
          <w:rFonts w:cs="Calibri"/>
          <w:sz w:val="24"/>
          <w:szCs w:val="24"/>
        </w:rPr>
        <w:t xml:space="preserve">, Cristina; </w:t>
      </w:r>
      <w:r w:rsidRPr="00FF4E92">
        <w:rPr>
          <w:rFonts w:cs="Calibri"/>
          <w:b/>
          <w:i/>
          <w:sz w:val="24"/>
          <w:szCs w:val="24"/>
        </w:rPr>
        <w:t>Notas para pensar la educación como práctica política. Una mirada desde Miche Foucault</w:t>
      </w:r>
      <w:r w:rsidRPr="00FF4E92">
        <w:rPr>
          <w:rFonts w:cs="Calibri"/>
          <w:sz w:val="24"/>
          <w:szCs w:val="24"/>
        </w:rPr>
        <w:t>; en Anuario de filosofía argentina y americana; Universidad Nacional de Cuyo; Mendoza; 2010.</w:t>
      </w:r>
    </w:p>
    <w:p w14:paraId="37927AB5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97A4BE5" w14:textId="77777777" w:rsidR="001B75CC" w:rsidRPr="00FF4E92" w:rsidRDefault="001B75CC" w:rsidP="001B75CC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Bloque VII. Democracia, autoridad y convivencia en la escuela.</w:t>
      </w:r>
    </w:p>
    <w:p w14:paraId="33BE5760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sz w:val="24"/>
          <w:szCs w:val="24"/>
        </w:rPr>
        <w:t xml:space="preserve">La micropolítica de las instituciones educativas como campo de relaciones sociales, conflictos y negociaciones. Relaciones de poder en el ámbito escolar. La construcción de la autoridad pedagógica: criterios de legitimidad, construcción de vínculos y afectividad. Gobierno escolar: democratización de las instituciones, acuerdos de convivencia y centros de estudiantes. La construcción de ciudadanía como aspecto transversal en la escuela secundaria obligatoria. </w:t>
      </w:r>
      <w:r w:rsidRPr="00FF4E92">
        <w:rPr>
          <w:rFonts w:cs="Arial"/>
          <w:sz w:val="24"/>
          <w:szCs w:val="24"/>
        </w:rPr>
        <w:t xml:space="preserve">Educación Sexual Integral: pensar la escuela y sus prácticas dese una perspectiva de género. </w:t>
      </w:r>
    </w:p>
    <w:p w14:paraId="282AC6C8" w14:textId="77777777" w:rsidR="001B75CC" w:rsidRPr="00FF4E92" w:rsidRDefault="001B75CC" w:rsidP="001B75CC">
      <w:pPr>
        <w:spacing w:after="0" w:line="360" w:lineRule="auto"/>
        <w:jc w:val="both"/>
        <w:rPr>
          <w:b/>
          <w:sz w:val="24"/>
          <w:szCs w:val="24"/>
        </w:rPr>
      </w:pPr>
      <w:r w:rsidRPr="00FF4E92">
        <w:rPr>
          <w:b/>
          <w:sz w:val="24"/>
          <w:szCs w:val="24"/>
        </w:rPr>
        <w:t>Bibliografía del estudiante</w:t>
      </w:r>
    </w:p>
    <w:p w14:paraId="0C18B662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i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ATEN Seccional Neuquén; </w:t>
      </w:r>
      <w:r w:rsidRPr="00FF4E92">
        <w:rPr>
          <w:rFonts w:cs="Calibri"/>
          <w:b/>
          <w:i/>
          <w:sz w:val="24"/>
          <w:szCs w:val="24"/>
        </w:rPr>
        <w:t xml:space="preserve">Espacios escolares y relaciones de género (Visibilizando el sexismo y el androcentrismo cultural)  </w:t>
      </w:r>
    </w:p>
    <w:p w14:paraId="2B198B45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Bleichmar, Silvia; </w:t>
      </w:r>
      <w:r w:rsidRPr="00FF4E92">
        <w:rPr>
          <w:rFonts w:cs="Arial"/>
          <w:b/>
          <w:i/>
          <w:sz w:val="24"/>
          <w:szCs w:val="24"/>
        </w:rPr>
        <w:t>La construcción de legalidades como principio educativo</w:t>
      </w:r>
      <w:r w:rsidRPr="00FF4E92">
        <w:rPr>
          <w:rFonts w:cs="Arial"/>
          <w:sz w:val="24"/>
          <w:szCs w:val="24"/>
        </w:rPr>
        <w:t>; en Ministerio de Educación; Aportes para pensar la violencia en las escuelas; Buenos Aires; 2008</w:t>
      </w:r>
    </w:p>
    <w:p w14:paraId="0E009C5A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Dussel, Inés y </w:t>
      </w:r>
      <w:proofErr w:type="spellStart"/>
      <w:r w:rsidRPr="00FF4E92">
        <w:rPr>
          <w:rFonts w:cs="Arial"/>
          <w:sz w:val="24"/>
          <w:szCs w:val="24"/>
        </w:rPr>
        <w:t>Southwell</w:t>
      </w:r>
      <w:proofErr w:type="spellEnd"/>
      <w:r w:rsidRPr="00FF4E92">
        <w:rPr>
          <w:rFonts w:cs="Arial"/>
          <w:sz w:val="24"/>
          <w:szCs w:val="24"/>
        </w:rPr>
        <w:t xml:space="preserve">, Myriam; </w:t>
      </w:r>
      <w:r w:rsidRPr="00FF4E92">
        <w:rPr>
          <w:rFonts w:cs="Arial"/>
          <w:b/>
          <w:i/>
          <w:sz w:val="24"/>
          <w:szCs w:val="24"/>
        </w:rPr>
        <w:t>La autoridad en cuestión</w:t>
      </w:r>
      <w:r w:rsidRPr="00FF4E92">
        <w:rPr>
          <w:rFonts w:cs="Arial"/>
          <w:sz w:val="24"/>
          <w:szCs w:val="24"/>
        </w:rPr>
        <w:t>; en Revista El monitor de la educación; Ministerio de Educación de la Nación.</w:t>
      </w:r>
    </w:p>
    <w:p w14:paraId="487AEAB5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Dussel, Inés; </w:t>
      </w:r>
      <w:r w:rsidRPr="00FF4E92">
        <w:rPr>
          <w:rFonts w:cs="Arial"/>
          <w:b/>
          <w:i/>
          <w:sz w:val="24"/>
          <w:szCs w:val="24"/>
        </w:rPr>
        <w:t>“La escuela y la construcción de un orden democrático: dilemas de la autoridad pedagógica contemporánea”</w:t>
      </w:r>
      <w:r w:rsidRPr="00FF4E92">
        <w:rPr>
          <w:rFonts w:cs="Arial"/>
          <w:sz w:val="24"/>
          <w:szCs w:val="24"/>
        </w:rPr>
        <w:t>; En Miradas interdisciplinarias sobre la violencia en las escuelas; Ministerio de Educación, Ciencia y Tecnología de la Nación; Buenos Aires; 2006.</w:t>
      </w:r>
    </w:p>
    <w:p w14:paraId="2E8AFC92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Morgade</w:t>
      </w:r>
      <w:proofErr w:type="spellEnd"/>
      <w:r w:rsidRPr="00FF4E92">
        <w:rPr>
          <w:sz w:val="24"/>
          <w:szCs w:val="24"/>
        </w:rPr>
        <w:t xml:space="preserve">, Graciela; </w:t>
      </w:r>
      <w:r w:rsidRPr="00FF4E92">
        <w:rPr>
          <w:b/>
          <w:bCs/>
          <w:i/>
          <w:iCs/>
          <w:sz w:val="24"/>
          <w:szCs w:val="24"/>
        </w:rPr>
        <w:t>Cuerpos sexuados en la escuela secundaria: política y políticas en una escuela que deviene otra</w:t>
      </w:r>
      <w:r w:rsidRPr="00FF4E92">
        <w:rPr>
          <w:sz w:val="24"/>
          <w:szCs w:val="24"/>
        </w:rPr>
        <w:t xml:space="preserve">; en </w:t>
      </w:r>
      <w:proofErr w:type="spellStart"/>
      <w:r w:rsidRPr="00FF4E92">
        <w:rPr>
          <w:sz w:val="24"/>
          <w:szCs w:val="24"/>
        </w:rPr>
        <w:t>Brener</w:t>
      </w:r>
      <w:proofErr w:type="spellEnd"/>
      <w:r w:rsidRPr="00FF4E92">
        <w:rPr>
          <w:sz w:val="24"/>
          <w:szCs w:val="24"/>
        </w:rPr>
        <w:t xml:space="preserve">, Gabriel y Galli, Gustavo; Inclusión y calidad como políticas educativas de Estado: o el </w:t>
      </w:r>
      <w:proofErr w:type="spellStart"/>
      <w:r w:rsidRPr="00FF4E92">
        <w:rPr>
          <w:sz w:val="24"/>
          <w:szCs w:val="24"/>
        </w:rPr>
        <w:t>mértio</w:t>
      </w:r>
      <w:proofErr w:type="spellEnd"/>
      <w:r w:rsidRPr="00FF4E92">
        <w:rPr>
          <w:sz w:val="24"/>
          <w:szCs w:val="24"/>
        </w:rPr>
        <w:t xml:space="preserve"> como opción única del mercado; Asociación Educacionista Argentina Editorial Stella; Buenos Aires; 2016.</w:t>
      </w:r>
    </w:p>
    <w:p w14:paraId="25082636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Noel, Gabriel; </w:t>
      </w:r>
      <w:r w:rsidRPr="00FF4E92">
        <w:rPr>
          <w:b/>
          <w:i/>
          <w:sz w:val="24"/>
          <w:szCs w:val="24"/>
        </w:rPr>
        <w:t>Violencia en las escuelas. Las relaciones intergeneracionales, los factores institucionales y la cuestión de la autoridad</w:t>
      </w:r>
      <w:r w:rsidRPr="00FF4E92">
        <w:rPr>
          <w:sz w:val="24"/>
          <w:szCs w:val="24"/>
        </w:rPr>
        <w:t>; En Aportes para pensar la violencia en las escuelas; Ministerio de Educación, Ciencia y Tecnología de la Nación; Buenos Aires; 2011.</w:t>
      </w:r>
    </w:p>
    <w:p w14:paraId="44AEAFCC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Pineau, Pablo; </w:t>
      </w:r>
      <w:r w:rsidRPr="00FF4E92">
        <w:rPr>
          <w:rFonts w:cs="Arial"/>
          <w:b/>
          <w:i/>
          <w:sz w:val="24"/>
          <w:szCs w:val="24"/>
        </w:rPr>
        <w:t>Autorizar el mundo</w:t>
      </w:r>
      <w:r w:rsidRPr="00FF4E92">
        <w:rPr>
          <w:rFonts w:cs="Arial"/>
          <w:sz w:val="24"/>
          <w:szCs w:val="24"/>
        </w:rPr>
        <w:t xml:space="preserve">; en Revista Docentes </w:t>
      </w:r>
      <w:proofErr w:type="spellStart"/>
      <w:r w:rsidRPr="00FF4E92">
        <w:rPr>
          <w:rFonts w:cs="Arial"/>
          <w:sz w:val="24"/>
          <w:szCs w:val="24"/>
        </w:rPr>
        <w:t>Nº</w:t>
      </w:r>
      <w:proofErr w:type="spellEnd"/>
      <w:r w:rsidRPr="00FF4E92">
        <w:rPr>
          <w:rFonts w:cs="Arial"/>
          <w:sz w:val="24"/>
          <w:szCs w:val="24"/>
        </w:rPr>
        <w:t xml:space="preserve"> 11; 2009.</w:t>
      </w:r>
    </w:p>
    <w:p w14:paraId="7C9AF834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FF4E92">
        <w:rPr>
          <w:sz w:val="24"/>
          <w:szCs w:val="24"/>
        </w:rPr>
        <w:t>Southwell</w:t>
      </w:r>
      <w:proofErr w:type="spellEnd"/>
      <w:r w:rsidRPr="00FF4E92">
        <w:rPr>
          <w:sz w:val="24"/>
          <w:szCs w:val="24"/>
        </w:rPr>
        <w:t xml:space="preserve">, Myriam; </w:t>
      </w:r>
      <w:r w:rsidRPr="00FF4E92">
        <w:rPr>
          <w:b/>
          <w:i/>
          <w:sz w:val="24"/>
          <w:szCs w:val="24"/>
        </w:rPr>
        <w:t>Conflictos, convivencia y democracia en la escuela</w:t>
      </w:r>
      <w:r w:rsidRPr="00FF4E92">
        <w:rPr>
          <w:sz w:val="24"/>
          <w:szCs w:val="24"/>
        </w:rPr>
        <w:t>; en Revista El monitor de la educación; Ministerio de Educación de la Nación; número 27</w:t>
      </w:r>
    </w:p>
    <w:p w14:paraId="6030CD96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FF4E92">
        <w:rPr>
          <w:rFonts w:cs="Calibri"/>
          <w:b/>
          <w:sz w:val="24"/>
          <w:szCs w:val="24"/>
        </w:rPr>
        <w:t>Bibliografía Ampliatoria del docente</w:t>
      </w:r>
    </w:p>
    <w:p w14:paraId="4B4BE682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Dirección General de Cultura y Educación; </w:t>
      </w:r>
      <w:r w:rsidRPr="00FF4E92">
        <w:rPr>
          <w:b/>
          <w:i/>
          <w:sz w:val="24"/>
          <w:szCs w:val="24"/>
        </w:rPr>
        <w:t xml:space="preserve">Reglamento General de las Instituciones Educativas de la provincia de Buenos </w:t>
      </w:r>
      <w:proofErr w:type="gramStart"/>
      <w:r w:rsidRPr="00FF4E92">
        <w:rPr>
          <w:b/>
          <w:i/>
          <w:sz w:val="24"/>
          <w:szCs w:val="24"/>
        </w:rPr>
        <w:t>Aires</w:t>
      </w:r>
      <w:r w:rsidRPr="00FF4E92">
        <w:rPr>
          <w:sz w:val="24"/>
          <w:szCs w:val="24"/>
        </w:rPr>
        <w:t>;  La</w:t>
      </w:r>
      <w:proofErr w:type="gramEnd"/>
      <w:r w:rsidRPr="00FF4E92">
        <w:rPr>
          <w:sz w:val="24"/>
          <w:szCs w:val="24"/>
        </w:rPr>
        <w:t xml:space="preserve"> Plata; 2012. </w:t>
      </w:r>
    </w:p>
    <w:p w14:paraId="39D6DC19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Dirección General de Cultura y Educación; </w:t>
      </w:r>
      <w:r w:rsidRPr="00FF4E92">
        <w:rPr>
          <w:rFonts w:cs="Arial"/>
          <w:b/>
          <w:i/>
          <w:sz w:val="24"/>
          <w:szCs w:val="24"/>
        </w:rPr>
        <w:t>Resolución 1709/09 - Acuerdos de Convivencia</w:t>
      </w:r>
      <w:r w:rsidRPr="00FF4E92">
        <w:rPr>
          <w:rFonts w:cs="Arial"/>
          <w:sz w:val="24"/>
          <w:szCs w:val="24"/>
        </w:rPr>
        <w:t>; La Plata; 2012.</w:t>
      </w:r>
    </w:p>
    <w:p w14:paraId="02C680E1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Dussel, Inés y </w:t>
      </w:r>
      <w:proofErr w:type="spellStart"/>
      <w:r w:rsidRPr="00FF4E92">
        <w:rPr>
          <w:sz w:val="24"/>
          <w:szCs w:val="24"/>
        </w:rPr>
        <w:t>Southwell</w:t>
      </w:r>
      <w:proofErr w:type="spellEnd"/>
      <w:r w:rsidRPr="00FF4E92">
        <w:rPr>
          <w:sz w:val="24"/>
          <w:szCs w:val="24"/>
        </w:rPr>
        <w:t xml:space="preserve">, Myriam; </w:t>
      </w:r>
      <w:r w:rsidRPr="00FF4E92">
        <w:rPr>
          <w:b/>
          <w:i/>
          <w:sz w:val="24"/>
          <w:szCs w:val="24"/>
        </w:rPr>
        <w:t>La autoridad en cuestión</w:t>
      </w:r>
      <w:r w:rsidRPr="00FF4E92">
        <w:rPr>
          <w:sz w:val="24"/>
          <w:szCs w:val="24"/>
        </w:rPr>
        <w:t>; en Revista El monitor de la educación; Ministerio de Educación de la Nación.</w:t>
      </w:r>
    </w:p>
    <w:p w14:paraId="144AEA65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Dirección General de Cultura y Educación; </w:t>
      </w:r>
      <w:r w:rsidRPr="00FF4E92">
        <w:rPr>
          <w:rFonts w:cs="Arial"/>
          <w:b/>
          <w:i/>
          <w:sz w:val="24"/>
          <w:szCs w:val="24"/>
        </w:rPr>
        <w:t>Resolución 4900/05 –Centros de Estudiantes</w:t>
      </w:r>
      <w:r w:rsidRPr="00FF4E92">
        <w:rPr>
          <w:rFonts w:cs="Arial"/>
          <w:sz w:val="24"/>
          <w:szCs w:val="24"/>
        </w:rPr>
        <w:t>; La Plata; 2012.</w:t>
      </w:r>
    </w:p>
    <w:p w14:paraId="190ED014" w14:textId="77777777" w:rsidR="001B75CC" w:rsidRPr="00FF4E92" w:rsidRDefault="001B75CC" w:rsidP="001B75CC">
      <w:pPr>
        <w:spacing w:after="0" w:line="360" w:lineRule="auto"/>
        <w:jc w:val="both"/>
        <w:rPr>
          <w:sz w:val="24"/>
          <w:szCs w:val="24"/>
        </w:rPr>
      </w:pPr>
      <w:r w:rsidRPr="00FF4E92">
        <w:rPr>
          <w:sz w:val="24"/>
          <w:szCs w:val="24"/>
        </w:rPr>
        <w:t xml:space="preserve">González del Cerro, Catalina y </w:t>
      </w:r>
      <w:proofErr w:type="spellStart"/>
      <w:r w:rsidRPr="00FF4E92">
        <w:rPr>
          <w:sz w:val="24"/>
          <w:szCs w:val="24"/>
        </w:rPr>
        <w:t>Fainsod</w:t>
      </w:r>
      <w:proofErr w:type="spellEnd"/>
      <w:r w:rsidRPr="00FF4E92">
        <w:rPr>
          <w:sz w:val="24"/>
          <w:szCs w:val="24"/>
        </w:rPr>
        <w:t xml:space="preserve">, Paula; </w:t>
      </w:r>
      <w:r w:rsidRPr="00FF4E92">
        <w:rPr>
          <w:b/>
          <w:i/>
          <w:sz w:val="24"/>
          <w:szCs w:val="24"/>
        </w:rPr>
        <w:t xml:space="preserve">Clase virtual </w:t>
      </w:r>
      <w:proofErr w:type="gramStart"/>
      <w:r w:rsidRPr="00FF4E92">
        <w:rPr>
          <w:b/>
          <w:i/>
          <w:sz w:val="24"/>
          <w:szCs w:val="24"/>
        </w:rPr>
        <w:t>1.B :</w:t>
      </w:r>
      <w:proofErr w:type="gramEnd"/>
      <w:r w:rsidRPr="00FF4E92">
        <w:rPr>
          <w:b/>
          <w:i/>
          <w:sz w:val="24"/>
          <w:szCs w:val="24"/>
        </w:rPr>
        <w:t xml:space="preserve"> Aproximaciones al campo de la educación sexual. M​</w:t>
      </w:r>
      <w:proofErr w:type="spellStart"/>
      <w:r w:rsidRPr="00FF4E92">
        <w:rPr>
          <w:b/>
          <w:i/>
          <w:sz w:val="24"/>
          <w:szCs w:val="24"/>
        </w:rPr>
        <w:t>ódulo</w:t>
      </w:r>
      <w:proofErr w:type="spellEnd"/>
      <w:r w:rsidRPr="00FF4E92">
        <w:rPr>
          <w:b/>
          <w:i/>
          <w:sz w:val="24"/>
          <w:szCs w:val="24"/>
        </w:rPr>
        <w:t xml:space="preserve"> 1: Enfoques en torno a las sexualidades y a la educación sexual.</w:t>
      </w:r>
      <w:r w:rsidRPr="00FF4E92">
        <w:rPr>
          <w:sz w:val="24"/>
          <w:szCs w:val="24"/>
        </w:rPr>
        <w:t xml:space="preserve"> Diplomatura de Extensión en Educación Sexual Integral. Facultad de Filosofía y Letras </w:t>
      </w:r>
      <w:proofErr w:type="gramStart"/>
      <w:r w:rsidRPr="00FF4E92">
        <w:rPr>
          <w:sz w:val="24"/>
          <w:szCs w:val="24"/>
        </w:rPr>
        <w:t>de  Universidad</w:t>
      </w:r>
      <w:proofErr w:type="gramEnd"/>
      <w:r w:rsidRPr="00FF4E92">
        <w:rPr>
          <w:sz w:val="24"/>
          <w:szCs w:val="24"/>
        </w:rPr>
        <w:t xml:space="preserve"> de Buenos Aires; Buenos Aires; 2019.  </w:t>
      </w:r>
    </w:p>
    <w:p w14:paraId="68516043" w14:textId="77777777" w:rsidR="001B75CC" w:rsidRPr="00FF4E92" w:rsidRDefault="001B75CC" w:rsidP="001B75C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FF4E92">
        <w:rPr>
          <w:rFonts w:cs="Calibri"/>
          <w:sz w:val="24"/>
          <w:szCs w:val="24"/>
        </w:rPr>
        <w:t xml:space="preserve">Landau, Matías; </w:t>
      </w:r>
      <w:r w:rsidRPr="00FF4E92">
        <w:rPr>
          <w:rFonts w:cs="Calibri"/>
          <w:b/>
          <w:i/>
          <w:sz w:val="24"/>
          <w:szCs w:val="24"/>
        </w:rPr>
        <w:t>Ciudadanía y ciudadanía juvenil</w:t>
      </w:r>
      <w:r w:rsidRPr="00FF4E92">
        <w:rPr>
          <w:rFonts w:cs="Calibri"/>
          <w:sz w:val="24"/>
          <w:szCs w:val="24"/>
        </w:rPr>
        <w:t xml:space="preserve">; Conferencia dictada en el Encuentro de Capacitación para Docentes, </w:t>
      </w:r>
      <w:proofErr w:type="gramStart"/>
      <w:r w:rsidRPr="00FF4E92">
        <w:rPr>
          <w:rFonts w:cs="Calibri"/>
          <w:sz w:val="24"/>
          <w:szCs w:val="24"/>
        </w:rPr>
        <w:t>Directivos ,</w:t>
      </w:r>
      <w:proofErr w:type="gramEnd"/>
      <w:r w:rsidRPr="00FF4E92">
        <w:rPr>
          <w:rFonts w:cs="Calibri"/>
          <w:sz w:val="24"/>
          <w:szCs w:val="24"/>
        </w:rPr>
        <w:t xml:space="preserve"> Supervisores y Capacitadores Generalistas de las 75 escuelas seleccionadas para la primera etapa de implementación del Prediseño Curricular de Educación Secundaria Básica; La Plata; 2006.</w:t>
      </w:r>
    </w:p>
    <w:p w14:paraId="14E6D1BE" w14:textId="77777777" w:rsidR="001B75CC" w:rsidRPr="00FF4E92" w:rsidRDefault="001B75CC" w:rsidP="001B75CC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color w:val="231F20"/>
          <w:sz w:val="24"/>
          <w:szCs w:val="24"/>
          <w:lang w:eastAsia="es-AR"/>
        </w:rPr>
      </w:pPr>
      <w:r w:rsidRPr="00FF4E92">
        <w:rPr>
          <w:rFonts w:cs="Sabon-Roman"/>
          <w:color w:val="231F20"/>
          <w:sz w:val="24"/>
          <w:szCs w:val="24"/>
          <w:lang w:eastAsia="es-AR"/>
        </w:rPr>
        <w:t xml:space="preserve">Ministerio de Educación, Ciencia y Tecnología de la Nación; </w:t>
      </w:r>
      <w:r w:rsidRPr="00FF4E92">
        <w:rPr>
          <w:rFonts w:cs="Sabon-Roman"/>
          <w:b/>
          <w:i/>
          <w:color w:val="231F20"/>
          <w:sz w:val="24"/>
          <w:szCs w:val="24"/>
          <w:lang w:eastAsia="es-AR"/>
        </w:rPr>
        <w:t>La convivencia en la escuela. Recursos y orientaciones para el trabajo en el aula</w:t>
      </w:r>
      <w:r w:rsidRPr="00FF4E92">
        <w:rPr>
          <w:rFonts w:cs="Sabon-Roman"/>
          <w:color w:val="231F20"/>
          <w:sz w:val="24"/>
          <w:szCs w:val="24"/>
          <w:lang w:eastAsia="es-AR"/>
        </w:rPr>
        <w:t>; Ministerio de Educación, Ciencia y Tecnología de la Nación; Buenos Aires; 2010</w:t>
      </w:r>
      <w:r w:rsidRPr="00FF4E92">
        <w:rPr>
          <w:rFonts w:ascii="Sabon-Roman" w:hAnsi="Sabon-Roman" w:cs="Sabon-Roman"/>
          <w:color w:val="231F20"/>
          <w:sz w:val="24"/>
          <w:szCs w:val="24"/>
          <w:lang w:eastAsia="es-AR"/>
        </w:rPr>
        <w:t>.</w:t>
      </w:r>
    </w:p>
    <w:p w14:paraId="760932F9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sz w:val="24"/>
          <w:szCs w:val="24"/>
        </w:rPr>
      </w:pPr>
      <w:r w:rsidRPr="00FF4E92">
        <w:rPr>
          <w:rFonts w:cs="Arial"/>
          <w:sz w:val="24"/>
          <w:szCs w:val="24"/>
        </w:rPr>
        <w:t xml:space="preserve">Dirección General de Cultura y Educación; Comunicación conjunta 1/12. </w:t>
      </w:r>
      <w:r w:rsidRPr="00FF4E92">
        <w:rPr>
          <w:rFonts w:cs="Arial"/>
          <w:b/>
          <w:i/>
          <w:sz w:val="24"/>
          <w:szCs w:val="24"/>
        </w:rPr>
        <w:t>Guía de Orientación para la Intervención en Situaciones Conflictivas en el Escenario Escolar</w:t>
      </w:r>
      <w:r w:rsidRPr="00FF4E92">
        <w:rPr>
          <w:rFonts w:cs="Arial"/>
          <w:sz w:val="24"/>
          <w:szCs w:val="24"/>
        </w:rPr>
        <w:t>; La Plata; 2012.</w:t>
      </w:r>
    </w:p>
    <w:p w14:paraId="59F56933" w14:textId="77777777" w:rsidR="001B75CC" w:rsidRPr="00FF4E92" w:rsidRDefault="001B75CC" w:rsidP="001B75CC">
      <w:pPr>
        <w:spacing w:after="0" w:line="360" w:lineRule="auto"/>
        <w:jc w:val="both"/>
        <w:rPr>
          <w:rFonts w:cs="Arial"/>
          <w:color w:val="FF0000"/>
          <w:sz w:val="24"/>
          <w:szCs w:val="24"/>
        </w:rPr>
      </w:pPr>
      <w:r w:rsidRPr="00FF4E92">
        <w:rPr>
          <w:sz w:val="24"/>
          <w:szCs w:val="24"/>
        </w:rPr>
        <w:t xml:space="preserve">Mendel, G.; </w:t>
      </w:r>
      <w:r w:rsidRPr="00FF4E92">
        <w:rPr>
          <w:b/>
          <w:i/>
          <w:sz w:val="24"/>
          <w:szCs w:val="24"/>
        </w:rPr>
        <w:t>Poder y autoridad en los espacios escolares</w:t>
      </w:r>
      <w:r w:rsidRPr="00FF4E92">
        <w:rPr>
          <w:sz w:val="24"/>
          <w:szCs w:val="24"/>
        </w:rPr>
        <w:t>; Miño y Dávila; Buenos Aires; 1994.</w:t>
      </w:r>
    </w:p>
    <w:p w14:paraId="3CE38343" w14:textId="64FA2D47" w:rsid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6CA7F713" w14:textId="77777777" w:rsidR="001F3F4D" w:rsidRPr="00195281" w:rsidRDefault="001F3F4D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s-MX"/>
        </w:rPr>
      </w:pPr>
    </w:p>
    <w:p w14:paraId="232B1D26" w14:textId="77777777" w:rsidR="00F51D0D" w:rsidRPr="00195281" w:rsidRDefault="00F51D0D" w:rsidP="00CB3E4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4809F64D" w14:textId="77777777" w:rsidR="00AC7F9D" w:rsidRPr="00195281" w:rsidRDefault="00AC7F9D" w:rsidP="00CB3E4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ABAFE" w14:textId="77777777" w:rsidR="00195281" w:rsidRPr="00195281" w:rsidRDefault="00195281" w:rsidP="00CB3E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05248602" w14:textId="74F1534A" w:rsidR="00195281" w:rsidRPr="00195281" w:rsidRDefault="00195281" w:rsidP="00CB3E4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1B75CC">
        <w:rPr>
          <w:rFonts w:ascii="Arial" w:hAnsi="Arial" w:cs="Arial"/>
          <w:sz w:val="24"/>
          <w:szCs w:val="24"/>
        </w:rPr>
        <w:t>Bloques</w:t>
      </w:r>
      <w:r w:rsidR="002F4E75">
        <w:rPr>
          <w:rFonts w:ascii="Arial" w:hAnsi="Arial" w:cs="Arial"/>
          <w:sz w:val="24"/>
          <w:szCs w:val="24"/>
        </w:rPr>
        <w:t xml:space="preserve"> 1, 2 y 3</w:t>
      </w:r>
    </w:p>
    <w:p w14:paraId="6535A522" w14:textId="2B7A149E" w:rsidR="00195281" w:rsidRPr="00B93F01" w:rsidRDefault="00195281" w:rsidP="00CB3E4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1B75CC">
        <w:rPr>
          <w:rFonts w:ascii="Arial" w:hAnsi="Arial" w:cs="Arial"/>
          <w:sz w:val="24"/>
          <w:szCs w:val="24"/>
          <w:lang w:val="es-MX"/>
        </w:rPr>
        <w:t>Bloques</w:t>
      </w:r>
      <w:r w:rsidR="00F3502A">
        <w:rPr>
          <w:rFonts w:ascii="Arial" w:hAnsi="Arial" w:cs="Arial"/>
          <w:sz w:val="24"/>
          <w:szCs w:val="24"/>
          <w:lang w:val="es-MX"/>
        </w:rPr>
        <w:t xml:space="preserve"> </w:t>
      </w:r>
      <w:r w:rsidR="002F4E75">
        <w:rPr>
          <w:rFonts w:ascii="Arial" w:hAnsi="Arial" w:cs="Arial"/>
          <w:sz w:val="24"/>
          <w:szCs w:val="24"/>
          <w:lang w:val="es-MX"/>
        </w:rPr>
        <w:t>4, 5</w:t>
      </w:r>
      <w:r w:rsidR="001B75CC">
        <w:rPr>
          <w:rFonts w:ascii="Arial" w:hAnsi="Arial" w:cs="Arial"/>
          <w:sz w:val="24"/>
          <w:szCs w:val="24"/>
          <w:lang w:val="es-MX"/>
        </w:rPr>
        <w:t>,6 y 7</w:t>
      </w:r>
    </w:p>
    <w:p w14:paraId="560D0236" w14:textId="77777777" w:rsidR="0038685F" w:rsidRDefault="0038685F" w:rsidP="00CB3E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1AAAEE" w14:textId="77777777" w:rsidR="005C321D" w:rsidRDefault="005C321D" w:rsidP="00CB3E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1C5A15" w14:textId="7DF7DFB5" w:rsidR="0038685F" w:rsidRPr="00195281" w:rsidRDefault="00AC7F9D" w:rsidP="00CB3E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78B8A780" w14:textId="77777777" w:rsidR="00195281" w:rsidRPr="00195281" w:rsidRDefault="00195281" w:rsidP="00CB3E4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FECB77" w14:textId="77777777" w:rsidR="00195281" w:rsidRPr="00195281" w:rsidRDefault="00195281" w:rsidP="00CB3E4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14:paraId="6FD078B5" w14:textId="77777777" w:rsidR="00195281" w:rsidRPr="00195281" w:rsidRDefault="00195281" w:rsidP="00CB3E4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B07C5FE" w14:textId="77777777" w:rsidR="002F4E75" w:rsidRDefault="002F4E75" w:rsidP="00CB3E4B">
      <w:pPr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Criterios de evaluación</w:t>
      </w:r>
    </w:p>
    <w:p w14:paraId="2EBC77D8" w14:textId="77777777" w:rsidR="002F4E75" w:rsidRDefault="002F4E75" w:rsidP="00CB3E4B">
      <w:pPr>
        <w:spacing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</w:rPr>
        <w:t>Se trata de los parámetros que tomamos para establecer que se han aprendido los contenidos prioritarios. En ese sentido, nos proponemos que los y las estudiantes puedan:</w:t>
      </w:r>
    </w:p>
    <w:p w14:paraId="4B7D1F7B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Analizar críticamente los contenidos trabajados. </w:t>
      </w:r>
    </w:p>
    <w:p w14:paraId="1A2D8994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Problematizar el fenómeno educativo desde una perspectiva sociológica y política.</w:t>
      </w:r>
    </w:p>
    <w:p w14:paraId="6003A8B6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Asumir la tarea docente como tarea con sentido político.</w:t>
      </w:r>
    </w:p>
    <w:p w14:paraId="076C45EE" w14:textId="77777777" w:rsidR="002F4E75" w:rsidRDefault="002F4E75" w:rsidP="00CB3E4B">
      <w:pPr>
        <w:numPr>
          <w:ilvl w:val="0"/>
          <w:numId w:val="29"/>
        </w:numPr>
        <w:autoSpaceDN w:val="0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Interpelar la práctica docente y su trayectoria estudiantil a la luz de esos contenidos. </w:t>
      </w:r>
    </w:p>
    <w:p w14:paraId="6A104180" w14:textId="77777777" w:rsidR="002F4E75" w:rsidRDefault="002F4E75" w:rsidP="00CB3E4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Criterios de Autoevaluación</w:t>
      </w:r>
    </w:p>
    <w:p w14:paraId="0CADBC7F" w14:textId="77777777" w:rsidR="002F4E75" w:rsidRDefault="002F4E75" w:rsidP="00CB3E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acompañar los procesos de autoevaluación, que orienten a los y las estudiantes en el análisis de su trayectoria y en su trabajo previo a los exámenes finales, se les propone indagar en torno a los siguientes interrogantes: ¿Cómo podrías evaluar tu participación en el trabajo anual? ¿Qué relato podrías realizar de tu experiencia de aprendizaje? ¿Qué tipo de relaciones trazar entre tu experiencia y las problemáticas abordadas a lo largo de la cursada?</w:t>
      </w:r>
    </w:p>
    <w:p w14:paraId="2BB3A7D9" w14:textId="1D950766" w:rsidR="00195281" w:rsidRPr="00BE2284" w:rsidRDefault="00195281" w:rsidP="00CB3E4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067EEBF" w14:textId="36B0F68A" w:rsidR="00FA434B" w:rsidRDefault="000C2546" w:rsidP="00CB3E4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EEEB98" w14:textId="11D0E96F" w:rsidR="002F4E75" w:rsidRDefault="002F4E75" w:rsidP="00CB3E4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79333A" w14:textId="77777777" w:rsidR="00F3502A" w:rsidRDefault="00F3502A" w:rsidP="00F3502A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Asistencia de acuerdo a la reglamentación vigente.</w:t>
      </w:r>
    </w:p>
    <w:p w14:paraId="20AEE10F" w14:textId="77777777" w:rsidR="00F3502A" w:rsidRDefault="00F3502A" w:rsidP="00F3502A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FFCBDA2" w14:textId="77777777" w:rsidR="00F3502A" w:rsidRDefault="00F3502A" w:rsidP="00F3502A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Participación de las instancias de debate de cada clase.</w:t>
      </w:r>
    </w:p>
    <w:p w14:paraId="4E03F11A" w14:textId="77777777" w:rsidR="00F3502A" w:rsidRPr="002F4E75" w:rsidRDefault="00F3502A" w:rsidP="00F3502A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455907" w14:textId="77777777" w:rsidR="00F3502A" w:rsidRDefault="00F3502A" w:rsidP="00F3502A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Aprobación de los trabajos obligatorios cuatrimestrales.</w:t>
      </w:r>
    </w:p>
    <w:p w14:paraId="67750834" w14:textId="77777777" w:rsidR="00F3502A" w:rsidRPr="004D20F1" w:rsidRDefault="00F3502A" w:rsidP="00F3502A">
      <w:pPr>
        <w:pStyle w:val="Prrafodelista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611E50" w14:textId="1FF90380" w:rsidR="004D20F1" w:rsidRPr="004D20F1" w:rsidRDefault="00F3502A" w:rsidP="00F3502A">
      <w:pPr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Respecto de la asistencia, es obligatorio estar presentes en el 60 % de las clases, tal como lo establece la reglamentación vigente. Más allá de esto, ante cualquier dificultad todo puede conversarse y todos los problemas son entendibles.</w:t>
      </w:r>
    </w:p>
    <w:p w14:paraId="6E3EDFCA" w14:textId="77777777" w:rsidR="00FA434B" w:rsidRPr="00195281" w:rsidRDefault="00FA434B" w:rsidP="00CB3E4B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D1C3061" w14:textId="77777777" w:rsidR="00195281" w:rsidRPr="00861918" w:rsidRDefault="00195281" w:rsidP="00CB3E4B">
      <w:pPr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3D78FDF0" w14:textId="77777777" w:rsidR="00FA434B" w:rsidRPr="00195281" w:rsidRDefault="000C2546" w:rsidP="00CB3E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B2AE09" w14:textId="77777777" w:rsidR="00FA434B" w:rsidRPr="00195281" w:rsidRDefault="00FA434B" w:rsidP="00CB3E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CB84E9" w14:textId="11EDC4BF" w:rsidR="002A0783" w:rsidRPr="005E59E5" w:rsidRDefault="005E59E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59E5">
        <w:rPr>
          <w:rFonts w:asciiTheme="minorHAnsi" w:hAnsiTheme="minorHAnsi" w:cstheme="minorHAnsi"/>
          <w:sz w:val="24"/>
          <w:szCs w:val="24"/>
        </w:rPr>
        <w:t>Tener la cursada aprobada.</w:t>
      </w:r>
    </w:p>
    <w:p w14:paraId="69A18F2E" w14:textId="0575CC5E" w:rsidR="005E59E5" w:rsidRDefault="005E59E5" w:rsidP="00CB3E4B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Aprobar el examen integrador final.</w:t>
      </w:r>
    </w:p>
    <w:p w14:paraId="132DD2E5" w14:textId="77777777" w:rsidR="00F3502A" w:rsidRPr="00F3502A" w:rsidRDefault="00F3502A" w:rsidP="00F3502A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3502A" w:rsidRPr="00F3502A" w:rsidSect="008757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E2D1" w14:textId="77777777" w:rsidR="00FB4647" w:rsidRDefault="00FB4647" w:rsidP="00FD15DD">
      <w:pPr>
        <w:spacing w:after="0" w:line="240" w:lineRule="auto"/>
      </w:pPr>
      <w:r>
        <w:separator/>
      </w:r>
    </w:p>
  </w:endnote>
  <w:endnote w:type="continuationSeparator" w:id="0">
    <w:p w14:paraId="7ECDF61E" w14:textId="77777777" w:rsidR="00FB4647" w:rsidRDefault="00FB4647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rsEaves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505A" w14:textId="77777777" w:rsidR="00DC224E" w:rsidRDefault="00DC22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02E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 xml:space="preserve">PLAN AUTORIZADO POR RESOLUCION </w:t>
    </w:r>
    <w:proofErr w:type="spellStart"/>
    <w:r w:rsidRPr="00DC224E">
      <w:rPr>
        <w:rFonts w:ascii="Arial" w:hAnsi="Arial" w:cs="Arial"/>
        <w:b/>
        <w:sz w:val="16"/>
        <w:szCs w:val="16"/>
      </w:rPr>
      <w:t>N°</w:t>
    </w:r>
    <w:proofErr w:type="spellEnd"/>
    <w:r w:rsidRPr="00DC224E">
      <w:rPr>
        <w:rFonts w:ascii="Arial" w:hAnsi="Arial" w:cs="Arial"/>
        <w:b/>
        <w:sz w:val="16"/>
        <w:szCs w:val="16"/>
      </w:rPr>
      <w:t>: 13259/99</w:t>
    </w:r>
  </w:p>
  <w:p w14:paraId="1BE1AD9E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3BCE3B60" w14:textId="77777777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2020/2021</w:t>
    </w:r>
  </w:p>
  <w:p w14:paraId="71C89575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D65" w14:textId="77777777" w:rsidR="00DC224E" w:rsidRDefault="00DC22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5F0D" w14:textId="77777777" w:rsidR="00FB4647" w:rsidRDefault="00FB4647" w:rsidP="00FD15DD">
      <w:pPr>
        <w:spacing w:after="0" w:line="240" w:lineRule="auto"/>
      </w:pPr>
      <w:r>
        <w:separator/>
      </w:r>
    </w:p>
  </w:footnote>
  <w:footnote w:type="continuationSeparator" w:id="0">
    <w:p w14:paraId="49C832E8" w14:textId="77777777" w:rsidR="00FB4647" w:rsidRDefault="00FB4647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B857" w14:textId="77777777" w:rsidR="00C02926" w:rsidRDefault="00C02926">
    <w:pPr>
      <w:pStyle w:val="Encabezado"/>
    </w:pPr>
  </w:p>
  <w:p w14:paraId="483AC4E3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7542"/>
    </w:tblGrid>
    <w:tr w:rsidR="00E93F6C" w:rsidRPr="00045AAA" w14:paraId="602D94D9" w14:textId="77777777" w:rsidTr="00E93F6C">
      <w:trPr>
        <w:trHeight w:val="2021"/>
        <w:jc w:val="right"/>
      </w:trPr>
      <w:tc>
        <w:tcPr>
          <w:tcW w:w="3261" w:type="dxa"/>
        </w:tcPr>
        <w:p w14:paraId="430B019B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s-AR" w:eastAsia="es-AR"/>
            </w:rPr>
            <w:drawing>
              <wp:anchor distT="0" distB="0" distL="114300" distR="114300" simplePos="0" relativeHeight="251658240" behindDoc="1" locked="0" layoutInCell="1" allowOverlap="1" wp14:anchorId="7A2020E7" wp14:editId="3D9B247F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496E6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41C3543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93423C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4C89D7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350D811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F7DF1A5" w14:textId="77777777" w:rsidR="008313A3" w:rsidRDefault="008313A3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7DAC2F3D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519D315E" w14:textId="77777777" w:rsidR="00E93F6C" w:rsidRPr="00DB540A" w:rsidRDefault="00E93F6C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167BC6E1" w14:textId="77777777" w:rsidR="00E93F6C" w:rsidRPr="00045AAA" w:rsidRDefault="00E93F6C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25897683" w14:textId="77777777" w:rsidR="00E93F6C" w:rsidRPr="00E93F6C" w:rsidRDefault="00E93F6C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Instituto Superior de Formación Docente y Técnica </w:t>
          </w:r>
          <w:proofErr w:type="spellStart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Nº</w:t>
          </w:r>
          <w:proofErr w:type="spellEnd"/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 xml:space="preserve"> 46</w:t>
          </w:r>
        </w:p>
        <w:p w14:paraId="25945216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461DEF4F" w14:textId="77777777" w:rsidR="00E93F6C" w:rsidRPr="00E93F6C" w:rsidRDefault="00E93F6C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57270F6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126436E1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proofErr w:type="spellStart"/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</w:t>
          </w:r>
          <w:proofErr w:type="spellEnd"/>
          <w:r w:rsidRPr="00E93F6C">
            <w:rPr>
              <w:b/>
              <w:i w:val="0"/>
              <w:color w:val="000000" w:themeColor="text1"/>
              <w:sz w:val="20"/>
              <w:szCs w:val="18"/>
            </w:rPr>
            <w:t>: Medrano 90</w:t>
          </w:r>
        </w:p>
        <w:p w14:paraId="299A2158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 w:rsidR="0011244F"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18FDEB03" w14:textId="77777777" w:rsidR="00E93F6C" w:rsidRPr="00E93F6C" w:rsidRDefault="00E93F6C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proofErr w:type="gramStart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>Te:+</w:t>
          </w:r>
          <w:proofErr w:type="gramEnd"/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54 011 4658-6285  </w:t>
          </w:r>
        </w:p>
      </w:tc>
    </w:tr>
  </w:tbl>
  <w:p w14:paraId="4FB442F7" w14:textId="77777777" w:rsidR="00C02926" w:rsidRPr="00C02926" w:rsidRDefault="00C02926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-----------------------------------------------------------------------------------------------------------------------------------------------------------------------------</w:t>
    </w:r>
    <w:r w:rsidR="008757C5">
      <w:rPr>
        <w:rFonts w:ascii="Arial" w:hAnsi="Arial" w:cs="Arial"/>
        <w:b/>
        <w:i/>
        <w:color w:val="000000" w:themeColor="text1"/>
        <w:sz w:val="18"/>
        <w:szCs w:val="18"/>
      </w:rPr>
      <w:t>------</w:t>
    </w:r>
  </w:p>
  <w:p w14:paraId="5179DA6B" w14:textId="77777777" w:rsidR="00FD15DD" w:rsidRDefault="00FD15DD" w:rsidP="00FD15DD">
    <w:pPr>
      <w:pStyle w:val="Encabezado"/>
      <w:tabs>
        <w:tab w:val="clear" w:pos="4419"/>
        <w:tab w:val="center" w:pos="4820"/>
      </w:tabs>
      <w:ind w:lef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A11C" w14:textId="77777777" w:rsidR="00DC224E" w:rsidRDefault="00DC22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1.25pt;height:11.25pt" o:bullet="t">
        <v:imagedata r:id="rId1" o:title="mso727"/>
      </v:shape>
    </w:pict>
  </w:numPicBullet>
  <w:abstractNum w:abstractNumId="0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05738"/>
    <w:multiLevelType w:val="hybridMultilevel"/>
    <w:tmpl w:val="654A3F12"/>
    <w:lvl w:ilvl="0" w:tplc="2FD0A7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D37D3"/>
    <w:multiLevelType w:val="hybridMultilevel"/>
    <w:tmpl w:val="BBDED69E"/>
    <w:lvl w:ilvl="0" w:tplc="422CE8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01733977">
    <w:abstractNumId w:val="17"/>
  </w:num>
  <w:num w:numId="2" w16cid:durableId="1650549573">
    <w:abstractNumId w:val="11"/>
  </w:num>
  <w:num w:numId="3" w16cid:durableId="1205799256">
    <w:abstractNumId w:val="2"/>
  </w:num>
  <w:num w:numId="4" w16cid:durableId="695497836">
    <w:abstractNumId w:val="8"/>
  </w:num>
  <w:num w:numId="5" w16cid:durableId="796871298">
    <w:abstractNumId w:val="24"/>
  </w:num>
  <w:num w:numId="6" w16cid:durableId="1583946755">
    <w:abstractNumId w:val="26"/>
  </w:num>
  <w:num w:numId="7" w16cid:durableId="302078075">
    <w:abstractNumId w:val="23"/>
  </w:num>
  <w:num w:numId="8" w16cid:durableId="841506551">
    <w:abstractNumId w:val="7"/>
  </w:num>
  <w:num w:numId="9" w16cid:durableId="1087728531">
    <w:abstractNumId w:val="22"/>
  </w:num>
  <w:num w:numId="10" w16cid:durableId="1440874811">
    <w:abstractNumId w:val="19"/>
  </w:num>
  <w:num w:numId="11" w16cid:durableId="1988589152">
    <w:abstractNumId w:val="4"/>
  </w:num>
  <w:num w:numId="12" w16cid:durableId="796945964">
    <w:abstractNumId w:val="13"/>
  </w:num>
  <w:num w:numId="13" w16cid:durableId="2118133556">
    <w:abstractNumId w:val="3"/>
  </w:num>
  <w:num w:numId="14" w16cid:durableId="144207842">
    <w:abstractNumId w:val="25"/>
  </w:num>
  <w:num w:numId="15" w16cid:durableId="1237672071">
    <w:abstractNumId w:val="28"/>
  </w:num>
  <w:num w:numId="16" w16cid:durableId="330185915">
    <w:abstractNumId w:val="10"/>
  </w:num>
  <w:num w:numId="17" w16cid:durableId="1250769570">
    <w:abstractNumId w:val="15"/>
  </w:num>
  <w:num w:numId="18" w16cid:durableId="210850301">
    <w:abstractNumId w:val="16"/>
  </w:num>
  <w:num w:numId="19" w16cid:durableId="74282606">
    <w:abstractNumId w:val="9"/>
  </w:num>
  <w:num w:numId="20" w16cid:durableId="674110922">
    <w:abstractNumId w:val="18"/>
  </w:num>
  <w:num w:numId="21" w16cid:durableId="1301497643">
    <w:abstractNumId w:val="20"/>
  </w:num>
  <w:num w:numId="22" w16cid:durableId="322784805">
    <w:abstractNumId w:val="21"/>
  </w:num>
  <w:num w:numId="23" w16cid:durableId="12924849">
    <w:abstractNumId w:val="0"/>
  </w:num>
  <w:num w:numId="24" w16cid:durableId="705788834">
    <w:abstractNumId w:val="6"/>
  </w:num>
  <w:num w:numId="25" w16cid:durableId="1643389603">
    <w:abstractNumId w:val="1"/>
  </w:num>
  <w:num w:numId="26" w16cid:durableId="112479840">
    <w:abstractNumId w:val="14"/>
  </w:num>
  <w:num w:numId="27" w16cid:durableId="1931347397">
    <w:abstractNumId w:val="5"/>
  </w:num>
  <w:num w:numId="28" w16cid:durableId="1604679701">
    <w:abstractNumId w:val="27"/>
  </w:num>
  <w:num w:numId="29" w16cid:durableId="708845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212AF"/>
    <w:rsid w:val="00045AAA"/>
    <w:rsid w:val="000646E9"/>
    <w:rsid w:val="00080BDB"/>
    <w:rsid w:val="000C2546"/>
    <w:rsid w:val="000E7F6C"/>
    <w:rsid w:val="000F2183"/>
    <w:rsid w:val="0010425C"/>
    <w:rsid w:val="0011244F"/>
    <w:rsid w:val="001247A1"/>
    <w:rsid w:val="0013265A"/>
    <w:rsid w:val="001925DC"/>
    <w:rsid w:val="00195281"/>
    <w:rsid w:val="001A1490"/>
    <w:rsid w:val="001B75CC"/>
    <w:rsid w:val="001C1630"/>
    <w:rsid w:val="001D5DFE"/>
    <w:rsid w:val="001E1934"/>
    <w:rsid w:val="001F3F4D"/>
    <w:rsid w:val="00222A75"/>
    <w:rsid w:val="0023551F"/>
    <w:rsid w:val="0026450E"/>
    <w:rsid w:val="002A0783"/>
    <w:rsid w:val="002B748A"/>
    <w:rsid w:val="002D519E"/>
    <w:rsid w:val="002F4E75"/>
    <w:rsid w:val="00377E07"/>
    <w:rsid w:val="0038685F"/>
    <w:rsid w:val="003914F1"/>
    <w:rsid w:val="003E3C91"/>
    <w:rsid w:val="003F7877"/>
    <w:rsid w:val="00403228"/>
    <w:rsid w:val="0041473F"/>
    <w:rsid w:val="00486389"/>
    <w:rsid w:val="00486C92"/>
    <w:rsid w:val="004A0B09"/>
    <w:rsid w:val="004D20F1"/>
    <w:rsid w:val="0052160D"/>
    <w:rsid w:val="005603F6"/>
    <w:rsid w:val="005C321D"/>
    <w:rsid w:val="005E401A"/>
    <w:rsid w:val="005E55B5"/>
    <w:rsid w:val="005E59E5"/>
    <w:rsid w:val="00604014"/>
    <w:rsid w:val="00610AB1"/>
    <w:rsid w:val="0062084B"/>
    <w:rsid w:val="00655CD6"/>
    <w:rsid w:val="006665A5"/>
    <w:rsid w:val="00667B77"/>
    <w:rsid w:val="00683897"/>
    <w:rsid w:val="00693A16"/>
    <w:rsid w:val="007205B1"/>
    <w:rsid w:val="007430AA"/>
    <w:rsid w:val="00754DDF"/>
    <w:rsid w:val="00771153"/>
    <w:rsid w:val="007E5A74"/>
    <w:rsid w:val="007F4085"/>
    <w:rsid w:val="008313A3"/>
    <w:rsid w:val="0083689A"/>
    <w:rsid w:val="008407FC"/>
    <w:rsid w:val="00861918"/>
    <w:rsid w:val="0086420C"/>
    <w:rsid w:val="008757C5"/>
    <w:rsid w:val="008C20A8"/>
    <w:rsid w:val="009233BC"/>
    <w:rsid w:val="00933D4B"/>
    <w:rsid w:val="00961332"/>
    <w:rsid w:val="00A93DF0"/>
    <w:rsid w:val="00AA1269"/>
    <w:rsid w:val="00AB5FF4"/>
    <w:rsid w:val="00AC7F9D"/>
    <w:rsid w:val="00AD64BC"/>
    <w:rsid w:val="00AE355A"/>
    <w:rsid w:val="00B03A50"/>
    <w:rsid w:val="00B214D5"/>
    <w:rsid w:val="00B93F01"/>
    <w:rsid w:val="00BE2284"/>
    <w:rsid w:val="00BF4158"/>
    <w:rsid w:val="00C02707"/>
    <w:rsid w:val="00C02926"/>
    <w:rsid w:val="00C35B05"/>
    <w:rsid w:val="00C423DD"/>
    <w:rsid w:val="00C91232"/>
    <w:rsid w:val="00CB02A0"/>
    <w:rsid w:val="00CB1697"/>
    <w:rsid w:val="00CB3E4B"/>
    <w:rsid w:val="00CB484A"/>
    <w:rsid w:val="00D12C8D"/>
    <w:rsid w:val="00D15A0F"/>
    <w:rsid w:val="00D5128C"/>
    <w:rsid w:val="00D77CC6"/>
    <w:rsid w:val="00DB540A"/>
    <w:rsid w:val="00DC224E"/>
    <w:rsid w:val="00DD492E"/>
    <w:rsid w:val="00DD53F7"/>
    <w:rsid w:val="00E0280C"/>
    <w:rsid w:val="00E93F6C"/>
    <w:rsid w:val="00EA2871"/>
    <w:rsid w:val="00EC7DEF"/>
    <w:rsid w:val="00F3502A"/>
    <w:rsid w:val="00F51D0D"/>
    <w:rsid w:val="00F67EA2"/>
    <w:rsid w:val="00F834EB"/>
    <w:rsid w:val="00F877EB"/>
    <w:rsid w:val="00FA434B"/>
    <w:rsid w:val="00FB4647"/>
    <w:rsid w:val="00FC4A66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79F7A"/>
  <w15:docId w15:val="{1DBA4849-D387-49B6-BF58-F9C23A8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1B75CC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F41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1B75CC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apple-converted-space">
    <w:name w:val="apple-converted-space"/>
    <w:basedOn w:val="Fuentedeprrafopredeter"/>
    <w:rsid w:val="001B75CC"/>
  </w:style>
  <w:style w:type="character" w:customStyle="1" w:styleId="texto-blanco-12">
    <w:name w:val="texto-blanco-12"/>
    <w:rsid w:val="001B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3101</Words>
  <Characters>17060</Characters>
  <Application>Microsoft Office Word</Application>
  <DocSecurity>0</DocSecurity>
  <Lines>142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Ovelar, Nora; Educación, política y ciudadanía democrática. A través de la espec</vt:lpstr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Marcelo Soubie</cp:lastModifiedBy>
  <cp:revision>8</cp:revision>
  <cp:lastPrinted>2019-12-03T20:16:00Z</cp:lastPrinted>
  <dcterms:created xsi:type="dcterms:W3CDTF">2021-05-01T17:15:00Z</dcterms:created>
  <dcterms:modified xsi:type="dcterms:W3CDTF">2022-05-27T10:29:00Z</dcterms:modified>
</cp:coreProperties>
</file>